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D8F10" w14:textId="50AD0239" w:rsidR="00112E9E" w:rsidRPr="00112E9E" w:rsidRDefault="00112E9E" w:rsidP="00F26A56">
      <w:pPr>
        <w:pBdr>
          <w:bottom w:val="single" w:sz="4" w:space="1" w:color="0070C0"/>
        </w:pBdr>
        <w:tabs>
          <w:tab w:val="left" w:pos="12960"/>
        </w:tabs>
        <w:spacing w:after="0"/>
        <w:jc w:val="right"/>
        <w:rPr>
          <w:szCs w:val="16"/>
        </w:rPr>
      </w:pPr>
      <w:r w:rsidRPr="00112E9E">
        <w:rPr>
          <w:rFonts w:cs="Calibri"/>
          <w:noProof/>
          <w:color w:val="0070C0"/>
          <w:sz w:val="40"/>
          <w:szCs w:val="28"/>
        </w:rPr>
        <w:drawing>
          <wp:anchor distT="0" distB="0" distL="114300" distR="114300" simplePos="0" relativeHeight="251659264" behindDoc="0" locked="0" layoutInCell="1" allowOverlap="1" wp14:anchorId="6FAF41D4" wp14:editId="27DA95AA">
            <wp:simplePos x="0" y="0"/>
            <wp:positionH relativeFrom="margin">
              <wp:align>left</wp:align>
            </wp:positionH>
            <wp:positionV relativeFrom="paragraph">
              <wp:posOffset>-581025</wp:posOffset>
            </wp:positionV>
            <wp:extent cx="893445" cy="8902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3445" cy="890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010D">
        <w:rPr>
          <w:rFonts w:cs="Calibri"/>
          <w:noProof/>
          <w:color w:val="0070C0"/>
          <w:sz w:val="40"/>
          <w:szCs w:val="28"/>
        </w:rPr>
        <w:t>SCILLSS Classroom Science Assessment Workshop</w:t>
      </w:r>
      <w:r w:rsidR="005C1F8A" w:rsidRPr="00112E9E">
        <w:rPr>
          <w:szCs w:val="16"/>
        </w:rPr>
        <w:t xml:space="preserve"> </w:t>
      </w:r>
    </w:p>
    <w:p w14:paraId="795BA1E6" w14:textId="1E2F68B3" w:rsidR="005A7955" w:rsidRPr="005254D7" w:rsidRDefault="00F26A56" w:rsidP="009A4472">
      <w:pPr>
        <w:pStyle w:val="Heading2"/>
        <w:spacing w:after="240"/>
        <w:rPr>
          <w:color w:val="0070C0"/>
          <w:sz w:val="28"/>
          <w:szCs w:val="24"/>
        </w:rPr>
      </w:pPr>
      <w:r>
        <w:rPr>
          <w:color w:val="0070C0"/>
          <w:sz w:val="28"/>
          <w:szCs w:val="24"/>
        </w:rPr>
        <w:t>Grade 5 Partially Completed</w:t>
      </w:r>
      <w:r w:rsidR="002B75B9" w:rsidRPr="005254D7">
        <w:rPr>
          <w:color w:val="0070C0"/>
          <w:sz w:val="28"/>
          <w:szCs w:val="24"/>
        </w:rPr>
        <w:t xml:space="preserve"> </w:t>
      </w:r>
      <w:r w:rsidR="00112E9E" w:rsidRPr="005254D7">
        <w:rPr>
          <w:color w:val="0070C0"/>
          <w:sz w:val="28"/>
          <w:szCs w:val="24"/>
        </w:rPr>
        <w:t>Unpacking Tool</w:t>
      </w:r>
    </w:p>
    <w:p w14:paraId="00F706E4" w14:textId="7D757241" w:rsidR="00112E9E" w:rsidRDefault="00112E9E" w:rsidP="005A7955">
      <w:pPr>
        <w:spacing w:after="0"/>
        <w:rPr>
          <w:sz w:val="2"/>
          <w:szCs w:val="16"/>
        </w:rPr>
      </w:pPr>
    </w:p>
    <w:p w14:paraId="1DAD3574" w14:textId="18E87723" w:rsidR="00112E9E" w:rsidRDefault="00112E9E" w:rsidP="005A7955">
      <w:pPr>
        <w:spacing w:after="0"/>
        <w:rPr>
          <w:sz w:val="2"/>
          <w:szCs w:val="16"/>
        </w:rPr>
      </w:pPr>
    </w:p>
    <w:tbl>
      <w:tblPr>
        <w:tblStyle w:val="TableGrid2"/>
        <w:tblW w:w="1331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49"/>
        <w:gridCol w:w="3346"/>
        <w:gridCol w:w="3719"/>
        <w:gridCol w:w="1346"/>
        <w:gridCol w:w="3054"/>
      </w:tblGrid>
      <w:tr w:rsidR="00112E9E" w:rsidRPr="00112E9E" w14:paraId="7227A0B5" w14:textId="77777777" w:rsidTr="009A4472">
        <w:trPr>
          <w:trHeight w:val="268"/>
        </w:trPr>
        <w:tc>
          <w:tcPr>
            <w:tcW w:w="1849" w:type="dxa"/>
            <w:shd w:val="clear" w:color="auto" w:fill="auto"/>
          </w:tcPr>
          <w:p w14:paraId="1574B97B" w14:textId="77777777" w:rsidR="00112E9E" w:rsidRPr="009A4472" w:rsidRDefault="00112E9E" w:rsidP="008D38F6">
            <w:pPr>
              <w:rPr>
                <w:b/>
                <w:sz w:val="20"/>
                <w:szCs w:val="20"/>
              </w:rPr>
            </w:pPr>
            <w:r w:rsidRPr="009A4472">
              <w:rPr>
                <w:b/>
                <w:sz w:val="20"/>
                <w:szCs w:val="20"/>
              </w:rPr>
              <w:t xml:space="preserve">Grade:    </w:t>
            </w:r>
          </w:p>
        </w:tc>
        <w:tc>
          <w:tcPr>
            <w:tcW w:w="3346" w:type="dxa"/>
            <w:shd w:val="clear" w:color="auto" w:fill="auto"/>
          </w:tcPr>
          <w:p w14:paraId="39FC54B0" w14:textId="77777777" w:rsidR="00112E9E" w:rsidRPr="009A4472" w:rsidRDefault="00112E9E" w:rsidP="008D38F6">
            <w:pPr>
              <w:spacing w:after="60"/>
              <w:rPr>
                <w:sz w:val="20"/>
                <w:szCs w:val="20"/>
              </w:rPr>
            </w:pPr>
            <w:r w:rsidRPr="009A4472">
              <w:rPr>
                <w:bCs/>
                <w:sz w:val="20"/>
                <w:szCs w:val="20"/>
              </w:rPr>
              <w:t xml:space="preserve">5    </w:t>
            </w:r>
          </w:p>
        </w:tc>
        <w:tc>
          <w:tcPr>
            <w:tcW w:w="3719" w:type="dxa"/>
            <w:shd w:val="clear" w:color="auto" w:fill="auto"/>
          </w:tcPr>
          <w:p w14:paraId="2049B5D6" w14:textId="77777777" w:rsidR="00112E9E" w:rsidRPr="009A4472" w:rsidRDefault="00112E9E" w:rsidP="008D38F6">
            <w:pPr>
              <w:spacing w:after="60"/>
              <w:jc w:val="center"/>
              <w:rPr>
                <w:b/>
                <w:sz w:val="20"/>
                <w:szCs w:val="20"/>
              </w:rPr>
            </w:pPr>
          </w:p>
        </w:tc>
        <w:tc>
          <w:tcPr>
            <w:tcW w:w="4400" w:type="dxa"/>
            <w:gridSpan w:val="2"/>
            <w:shd w:val="clear" w:color="auto" w:fill="auto"/>
          </w:tcPr>
          <w:p w14:paraId="46D19AAC" w14:textId="77777777" w:rsidR="00112E9E" w:rsidRPr="009A4472" w:rsidRDefault="00112E9E" w:rsidP="008D38F6">
            <w:pPr>
              <w:spacing w:after="60"/>
              <w:jc w:val="center"/>
              <w:rPr>
                <w:b/>
                <w:sz w:val="20"/>
                <w:szCs w:val="20"/>
              </w:rPr>
            </w:pPr>
          </w:p>
        </w:tc>
      </w:tr>
      <w:tr w:rsidR="00124763" w:rsidRPr="00112E9E" w14:paraId="72EED5F7" w14:textId="77777777" w:rsidTr="003D5CE2">
        <w:trPr>
          <w:trHeight w:val="270"/>
        </w:trPr>
        <w:tc>
          <w:tcPr>
            <w:tcW w:w="13314" w:type="dxa"/>
            <w:gridSpan w:val="5"/>
            <w:shd w:val="clear" w:color="auto" w:fill="auto"/>
          </w:tcPr>
          <w:p w14:paraId="2DAA2233" w14:textId="525165D1" w:rsidR="00124763" w:rsidRPr="009A4472" w:rsidRDefault="00124763" w:rsidP="008D38F6">
            <w:pPr>
              <w:spacing w:after="60"/>
              <w:rPr>
                <w:b/>
                <w:sz w:val="20"/>
                <w:szCs w:val="20"/>
              </w:rPr>
            </w:pPr>
            <w:r>
              <w:rPr>
                <w:rFonts w:cs="Calibri"/>
                <w:b/>
              </w:rPr>
              <w:t xml:space="preserve">NGSS Performance Expectation: </w:t>
            </w:r>
            <w:r w:rsidRPr="009A4472">
              <w:rPr>
                <w:b/>
                <w:sz w:val="20"/>
                <w:szCs w:val="20"/>
              </w:rPr>
              <w:t xml:space="preserve">5-ESS1-2. </w:t>
            </w:r>
            <w:r w:rsidRPr="009A4472">
              <w:rPr>
                <w:bCs/>
                <w:sz w:val="20"/>
                <w:szCs w:val="20"/>
              </w:rPr>
              <w:t>Represent data in graphical displays to reveal patterns of daily changes in the length and direction of shadows, day and night, and the seasonal appearance of some stars in the night sky.</w:t>
            </w:r>
          </w:p>
        </w:tc>
      </w:tr>
      <w:tr w:rsidR="00112E9E" w:rsidRPr="00112E9E" w14:paraId="13138F6F" w14:textId="77777777" w:rsidTr="009A4472">
        <w:trPr>
          <w:trHeight w:val="270"/>
        </w:trPr>
        <w:tc>
          <w:tcPr>
            <w:tcW w:w="1849" w:type="dxa"/>
            <w:vMerge w:val="restart"/>
            <w:shd w:val="clear" w:color="auto" w:fill="auto"/>
          </w:tcPr>
          <w:p w14:paraId="4F9363F5" w14:textId="77777777" w:rsidR="00112E9E" w:rsidRPr="009A4472" w:rsidRDefault="00112E9E" w:rsidP="008D38F6">
            <w:pPr>
              <w:jc w:val="center"/>
              <w:rPr>
                <w:b/>
                <w:sz w:val="20"/>
                <w:szCs w:val="20"/>
              </w:rPr>
            </w:pPr>
          </w:p>
        </w:tc>
        <w:tc>
          <w:tcPr>
            <w:tcW w:w="3346" w:type="dxa"/>
            <w:shd w:val="clear" w:color="auto" w:fill="0070C0"/>
          </w:tcPr>
          <w:p w14:paraId="646E9853" w14:textId="77777777" w:rsidR="00112E9E" w:rsidRPr="009A4472" w:rsidRDefault="00112E9E" w:rsidP="008D38F6">
            <w:pPr>
              <w:spacing w:after="60"/>
              <w:jc w:val="center"/>
              <w:rPr>
                <w:b/>
                <w:sz w:val="20"/>
                <w:szCs w:val="20"/>
              </w:rPr>
            </w:pPr>
            <w:r w:rsidRPr="009A4472">
              <w:rPr>
                <w:b/>
                <w:sz w:val="20"/>
                <w:szCs w:val="20"/>
              </w:rPr>
              <w:t>Science and Engineering Practices (SEP)</w:t>
            </w:r>
          </w:p>
        </w:tc>
        <w:tc>
          <w:tcPr>
            <w:tcW w:w="3719" w:type="dxa"/>
            <w:shd w:val="clear" w:color="auto" w:fill="FF9900"/>
          </w:tcPr>
          <w:p w14:paraId="01D69EB1" w14:textId="77777777" w:rsidR="00112E9E" w:rsidRPr="009A4472" w:rsidRDefault="00112E9E" w:rsidP="008D38F6">
            <w:pPr>
              <w:spacing w:after="60"/>
              <w:jc w:val="center"/>
              <w:rPr>
                <w:b/>
                <w:sz w:val="20"/>
                <w:szCs w:val="20"/>
              </w:rPr>
            </w:pPr>
            <w:r w:rsidRPr="009A4472">
              <w:rPr>
                <w:b/>
                <w:sz w:val="20"/>
                <w:szCs w:val="20"/>
              </w:rPr>
              <w:t>Disciplinary Core Ideas (DCI)</w:t>
            </w:r>
          </w:p>
        </w:tc>
        <w:tc>
          <w:tcPr>
            <w:tcW w:w="4400" w:type="dxa"/>
            <w:gridSpan w:val="2"/>
            <w:shd w:val="clear" w:color="auto" w:fill="D6E3BC" w:themeFill="accent3" w:themeFillTint="66"/>
          </w:tcPr>
          <w:p w14:paraId="2192AD6A" w14:textId="77777777" w:rsidR="00112E9E" w:rsidRPr="009A4472" w:rsidRDefault="00112E9E" w:rsidP="008D38F6">
            <w:pPr>
              <w:spacing w:after="60"/>
              <w:jc w:val="center"/>
              <w:rPr>
                <w:b/>
                <w:sz w:val="20"/>
                <w:szCs w:val="20"/>
              </w:rPr>
            </w:pPr>
            <w:r w:rsidRPr="009A4472">
              <w:rPr>
                <w:b/>
                <w:sz w:val="20"/>
                <w:szCs w:val="20"/>
              </w:rPr>
              <w:t>Crosscutting Concepts (CCC)</w:t>
            </w:r>
          </w:p>
        </w:tc>
      </w:tr>
      <w:tr w:rsidR="00112E9E" w:rsidRPr="00112E9E" w14:paraId="023D3DC3" w14:textId="77777777" w:rsidTr="009A4472">
        <w:trPr>
          <w:trHeight w:val="2333"/>
        </w:trPr>
        <w:tc>
          <w:tcPr>
            <w:tcW w:w="1849" w:type="dxa"/>
            <w:vMerge/>
            <w:shd w:val="clear" w:color="auto" w:fill="auto"/>
          </w:tcPr>
          <w:p w14:paraId="70724A39" w14:textId="77777777" w:rsidR="00112E9E" w:rsidRPr="009A4472" w:rsidRDefault="00112E9E" w:rsidP="008D38F6">
            <w:pPr>
              <w:rPr>
                <w:sz w:val="20"/>
                <w:szCs w:val="20"/>
              </w:rPr>
            </w:pPr>
          </w:p>
        </w:tc>
        <w:tc>
          <w:tcPr>
            <w:tcW w:w="3346" w:type="dxa"/>
            <w:shd w:val="clear" w:color="auto" w:fill="DBE5F1" w:themeFill="accent1" w:themeFillTint="33"/>
          </w:tcPr>
          <w:p w14:paraId="6B964FAF" w14:textId="77777777" w:rsidR="00112E9E" w:rsidRPr="009A4472" w:rsidRDefault="00112E9E" w:rsidP="008D38F6">
            <w:pPr>
              <w:spacing w:after="60"/>
              <w:rPr>
                <w:b/>
                <w:sz w:val="20"/>
                <w:szCs w:val="20"/>
              </w:rPr>
            </w:pPr>
            <w:r w:rsidRPr="009A4472">
              <w:rPr>
                <w:b/>
                <w:sz w:val="20"/>
                <w:szCs w:val="20"/>
              </w:rPr>
              <w:t>SEP:</w:t>
            </w:r>
            <w:r w:rsidRPr="009A4472">
              <w:rPr>
                <w:sz w:val="20"/>
                <w:szCs w:val="20"/>
              </w:rPr>
              <w:t xml:space="preserve"> </w:t>
            </w:r>
            <w:r w:rsidRPr="009A4472">
              <w:rPr>
                <w:b/>
                <w:sz w:val="20"/>
                <w:szCs w:val="20"/>
              </w:rPr>
              <w:t>Analyzing and Interpreting Data</w:t>
            </w:r>
          </w:p>
          <w:p w14:paraId="007BEAD5" w14:textId="77777777" w:rsidR="00112E9E" w:rsidRPr="009A4472" w:rsidRDefault="00112E9E" w:rsidP="008D38F6">
            <w:pPr>
              <w:spacing w:after="60"/>
              <w:rPr>
                <w:sz w:val="20"/>
                <w:szCs w:val="20"/>
              </w:rPr>
            </w:pPr>
            <w:r w:rsidRPr="009A4472">
              <w:rPr>
                <w:sz w:val="20"/>
                <w:szCs w:val="20"/>
              </w:rPr>
              <w:t>Represent data in graphical displays (bar graphs, pictographs and/or pie charts) to reveal patterns that indicate relationships.</w:t>
            </w:r>
          </w:p>
        </w:tc>
        <w:tc>
          <w:tcPr>
            <w:tcW w:w="3719" w:type="dxa"/>
            <w:shd w:val="clear" w:color="auto" w:fill="F2DBDB" w:themeFill="accent2" w:themeFillTint="33"/>
          </w:tcPr>
          <w:p w14:paraId="2CECA367" w14:textId="77777777" w:rsidR="00112E9E" w:rsidRPr="009A4472" w:rsidRDefault="00112E9E" w:rsidP="008D38F6">
            <w:pPr>
              <w:spacing w:after="60"/>
              <w:rPr>
                <w:b/>
                <w:sz w:val="20"/>
                <w:szCs w:val="20"/>
              </w:rPr>
            </w:pPr>
            <w:r w:rsidRPr="009A4472">
              <w:rPr>
                <w:b/>
                <w:sz w:val="20"/>
                <w:szCs w:val="20"/>
              </w:rPr>
              <w:t>DCI:</w:t>
            </w:r>
            <w:r w:rsidRPr="009A4472">
              <w:rPr>
                <w:sz w:val="20"/>
                <w:szCs w:val="20"/>
              </w:rPr>
              <w:t xml:space="preserve"> </w:t>
            </w:r>
            <w:r w:rsidRPr="009A4472">
              <w:rPr>
                <w:b/>
                <w:sz w:val="20"/>
                <w:szCs w:val="20"/>
              </w:rPr>
              <w:t>ESS1.B: Earth and the Solar System</w:t>
            </w:r>
          </w:p>
          <w:p w14:paraId="0D457ED7" w14:textId="77777777" w:rsidR="00112E9E" w:rsidRPr="009A4472" w:rsidRDefault="00112E9E" w:rsidP="008D38F6">
            <w:pPr>
              <w:spacing w:after="60"/>
              <w:rPr>
                <w:bCs/>
                <w:sz w:val="20"/>
                <w:szCs w:val="20"/>
              </w:rPr>
            </w:pPr>
            <w:r w:rsidRPr="009A4472">
              <w:rPr>
                <w:bCs/>
                <w:sz w:val="20"/>
                <w:szCs w:val="20"/>
              </w:rPr>
              <w:t>The orbits of Earth around the sun and of the moon around Earth, together with the rotation of Earth about an axis between its North and South poles, cause observable patterns. These include day and night; daily changes in the length and direction of shadows; and different positions of the sun, moon, and stars at different times of the day, month, and year.</w:t>
            </w:r>
          </w:p>
        </w:tc>
        <w:tc>
          <w:tcPr>
            <w:tcW w:w="4400" w:type="dxa"/>
            <w:gridSpan w:val="2"/>
            <w:shd w:val="clear" w:color="auto" w:fill="EAF1DD" w:themeFill="accent3" w:themeFillTint="33"/>
          </w:tcPr>
          <w:p w14:paraId="3E1FA39C" w14:textId="77777777" w:rsidR="00112E9E" w:rsidRPr="009A4472" w:rsidRDefault="00112E9E" w:rsidP="008D38F6">
            <w:pPr>
              <w:spacing w:after="60"/>
              <w:rPr>
                <w:b/>
                <w:sz w:val="20"/>
                <w:szCs w:val="20"/>
              </w:rPr>
            </w:pPr>
            <w:r w:rsidRPr="009A4472">
              <w:rPr>
                <w:b/>
                <w:sz w:val="20"/>
                <w:szCs w:val="20"/>
              </w:rPr>
              <w:t>CCC:</w:t>
            </w:r>
            <w:r w:rsidRPr="009A4472">
              <w:rPr>
                <w:sz w:val="20"/>
                <w:szCs w:val="20"/>
              </w:rPr>
              <w:t xml:space="preserve"> </w:t>
            </w:r>
            <w:r w:rsidRPr="009A4472">
              <w:rPr>
                <w:b/>
                <w:sz w:val="20"/>
                <w:szCs w:val="20"/>
              </w:rPr>
              <w:t>Patterns</w:t>
            </w:r>
          </w:p>
          <w:p w14:paraId="5ED45AEB" w14:textId="77777777" w:rsidR="00112E9E" w:rsidRPr="009A4472" w:rsidRDefault="00112E9E" w:rsidP="008D38F6">
            <w:pPr>
              <w:spacing w:after="60"/>
              <w:rPr>
                <w:bCs/>
                <w:sz w:val="20"/>
                <w:szCs w:val="20"/>
              </w:rPr>
            </w:pPr>
            <w:r w:rsidRPr="009A4472">
              <w:rPr>
                <w:bCs/>
                <w:sz w:val="20"/>
                <w:szCs w:val="20"/>
              </w:rPr>
              <w:t>Similarities and differences in patterns can be used to sort, classify, communicate and analyze simple rates of change for natural phenomena.</w:t>
            </w:r>
          </w:p>
          <w:p w14:paraId="13B0D738" w14:textId="77777777" w:rsidR="00112E9E" w:rsidRPr="009A4472" w:rsidRDefault="00112E9E" w:rsidP="008D38F6">
            <w:pPr>
              <w:spacing w:after="60"/>
              <w:rPr>
                <w:b/>
                <w:sz w:val="20"/>
                <w:szCs w:val="20"/>
              </w:rPr>
            </w:pPr>
          </w:p>
        </w:tc>
      </w:tr>
      <w:tr w:rsidR="00112E9E" w:rsidRPr="00112E9E" w14:paraId="12AB697E" w14:textId="77777777" w:rsidTr="009A4472">
        <w:trPr>
          <w:trHeight w:val="61"/>
        </w:trPr>
        <w:tc>
          <w:tcPr>
            <w:tcW w:w="1849" w:type="dxa"/>
          </w:tcPr>
          <w:p w14:paraId="02772115" w14:textId="77777777" w:rsidR="00112E9E" w:rsidRPr="009A4472" w:rsidRDefault="00112E9E" w:rsidP="008D38F6">
            <w:pPr>
              <w:rPr>
                <w:b/>
                <w:sz w:val="20"/>
                <w:szCs w:val="20"/>
              </w:rPr>
            </w:pPr>
            <w:r w:rsidRPr="009A4472">
              <w:rPr>
                <w:b/>
                <w:sz w:val="20"/>
                <w:szCs w:val="20"/>
              </w:rPr>
              <w:t>Key Aspects</w:t>
            </w:r>
          </w:p>
        </w:tc>
        <w:tc>
          <w:tcPr>
            <w:tcW w:w="3346" w:type="dxa"/>
            <w:shd w:val="clear" w:color="auto" w:fill="DBE5F1" w:themeFill="accent1" w:themeFillTint="33"/>
          </w:tcPr>
          <w:p w14:paraId="2F3CE1CC" w14:textId="77777777" w:rsidR="00112E9E" w:rsidRPr="009A4472" w:rsidRDefault="00112E9E" w:rsidP="00112E9E">
            <w:pPr>
              <w:pStyle w:val="ListParagraph"/>
              <w:numPr>
                <w:ilvl w:val="0"/>
                <w:numId w:val="5"/>
              </w:numPr>
              <w:spacing w:after="60" w:line="240" w:lineRule="auto"/>
              <w:rPr>
                <w:sz w:val="20"/>
                <w:szCs w:val="20"/>
              </w:rPr>
            </w:pPr>
            <w:r w:rsidRPr="009A4472">
              <w:rPr>
                <w:sz w:val="20"/>
                <w:szCs w:val="20"/>
              </w:rPr>
              <w:t>Organize data.</w:t>
            </w:r>
          </w:p>
          <w:p w14:paraId="4DAF1E4E" w14:textId="77777777" w:rsidR="00112E9E" w:rsidRPr="009A4472" w:rsidRDefault="00112E9E" w:rsidP="00112E9E">
            <w:pPr>
              <w:pStyle w:val="ListParagraph"/>
              <w:numPr>
                <w:ilvl w:val="0"/>
                <w:numId w:val="5"/>
              </w:numPr>
              <w:spacing w:after="60" w:line="240" w:lineRule="auto"/>
              <w:rPr>
                <w:b/>
                <w:sz w:val="20"/>
                <w:szCs w:val="20"/>
              </w:rPr>
            </w:pPr>
            <w:r w:rsidRPr="009A4472">
              <w:rPr>
                <w:sz w:val="20"/>
                <w:szCs w:val="20"/>
              </w:rPr>
              <w:t>Analyze data to make sense of phenomena.</w:t>
            </w:r>
          </w:p>
          <w:p w14:paraId="522A684F" w14:textId="77777777" w:rsidR="00112E9E" w:rsidRPr="009A4472" w:rsidRDefault="00112E9E" w:rsidP="00112E9E">
            <w:pPr>
              <w:pStyle w:val="ListParagraph"/>
              <w:numPr>
                <w:ilvl w:val="0"/>
                <w:numId w:val="5"/>
              </w:numPr>
              <w:spacing w:after="60" w:line="240" w:lineRule="auto"/>
              <w:rPr>
                <w:b/>
                <w:sz w:val="20"/>
                <w:szCs w:val="20"/>
              </w:rPr>
            </w:pPr>
            <w:r w:rsidRPr="009A4472">
              <w:rPr>
                <w:sz w:val="20"/>
                <w:szCs w:val="20"/>
              </w:rPr>
              <w:t>Use a variety of graphical displays to reveal patterns.</w:t>
            </w:r>
          </w:p>
        </w:tc>
        <w:tc>
          <w:tcPr>
            <w:tcW w:w="3719" w:type="dxa"/>
            <w:shd w:val="clear" w:color="auto" w:fill="F2DBDB" w:themeFill="accent2" w:themeFillTint="33"/>
          </w:tcPr>
          <w:p w14:paraId="3FF06D99" w14:textId="77777777" w:rsidR="00112E9E" w:rsidRPr="009A4472" w:rsidRDefault="00112E9E" w:rsidP="00112E9E">
            <w:pPr>
              <w:pStyle w:val="ListParagraph"/>
              <w:numPr>
                <w:ilvl w:val="0"/>
                <w:numId w:val="6"/>
              </w:numPr>
              <w:spacing w:after="60" w:line="240" w:lineRule="auto"/>
              <w:rPr>
                <w:sz w:val="20"/>
                <w:szCs w:val="20"/>
              </w:rPr>
            </w:pPr>
            <w:r w:rsidRPr="009A4472">
              <w:rPr>
                <w:sz w:val="20"/>
                <w:szCs w:val="20"/>
              </w:rPr>
              <w:t>As Earth moves around the sun and rotates on its axis, changes such as patterns of night and day can be observed.</w:t>
            </w:r>
          </w:p>
          <w:p w14:paraId="05A96AB1" w14:textId="77777777" w:rsidR="00112E9E" w:rsidRPr="009A4472" w:rsidRDefault="00112E9E" w:rsidP="00112E9E">
            <w:pPr>
              <w:pStyle w:val="ListParagraph"/>
              <w:numPr>
                <w:ilvl w:val="0"/>
                <w:numId w:val="6"/>
              </w:numPr>
              <w:spacing w:after="60" w:line="240" w:lineRule="auto"/>
              <w:rPr>
                <w:sz w:val="20"/>
                <w:szCs w:val="20"/>
              </w:rPr>
            </w:pPr>
            <w:r w:rsidRPr="009A4472">
              <w:rPr>
                <w:sz w:val="20"/>
                <w:szCs w:val="20"/>
              </w:rPr>
              <w:t>There are daily changes in the length of day and night.</w:t>
            </w:r>
          </w:p>
        </w:tc>
        <w:tc>
          <w:tcPr>
            <w:tcW w:w="4400" w:type="dxa"/>
            <w:gridSpan w:val="2"/>
            <w:shd w:val="clear" w:color="auto" w:fill="EAF1DD" w:themeFill="accent3" w:themeFillTint="33"/>
          </w:tcPr>
          <w:p w14:paraId="4F6EAF30" w14:textId="77777777" w:rsidR="00112E9E" w:rsidRPr="009A4472" w:rsidRDefault="00112E9E" w:rsidP="00112E9E">
            <w:pPr>
              <w:pStyle w:val="ListParagraph"/>
              <w:numPr>
                <w:ilvl w:val="0"/>
                <w:numId w:val="3"/>
              </w:numPr>
              <w:spacing w:after="60" w:line="240" w:lineRule="auto"/>
              <w:rPr>
                <w:sz w:val="20"/>
                <w:szCs w:val="20"/>
              </w:rPr>
            </w:pPr>
            <w:r w:rsidRPr="009A4472">
              <w:rPr>
                <w:sz w:val="20"/>
                <w:szCs w:val="20"/>
              </w:rPr>
              <w:t>Similarities in patterns can be used to sort simple rates of change (natural phenomena and designed products).</w:t>
            </w:r>
          </w:p>
          <w:p w14:paraId="6443A8B1" w14:textId="77777777" w:rsidR="00112E9E" w:rsidRPr="009A4472" w:rsidRDefault="00112E9E" w:rsidP="00112E9E">
            <w:pPr>
              <w:pStyle w:val="ListParagraph"/>
              <w:numPr>
                <w:ilvl w:val="0"/>
                <w:numId w:val="3"/>
              </w:numPr>
              <w:spacing w:after="60" w:line="240" w:lineRule="auto"/>
              <w:rPr>
                <w:sz w:val="20"/>
                <w:szCs w:val="20"/>
              </w:rPr>
            </w:pPr>
            <w:r w:rsidRPr="009A4472">
              <w:rPr>
                <w:sz w:val="20"/>
                <w:szCs w:val="20"/>
              </w:rPr>
              <w:t>Differences in patterns can be used to classify simple rates of change (natural phenomena and designed products).</w:t>
            </w:r>
          </w:p>
        </w:tc>
      </w:tr>
      <w:tr w:rsidR="00112E9E" w:rsidRPr="00112E9E" w14:paraId="3D7FF4CD" w14:textId="77777777" w:rsidTr="00E37319">
        <w:trPr>
          <w:trHeight w:val="70"/>
        </w:trPr>
        <w:tc>
          <w:tcPr>
            <w:tcW w:w="1849" w:type="dxa"/>
          </w:tcPr>
          <w:p w14:paraId="54FABC6C" w14:textId="77777777" w:rsidR="00112E9E" w:rsidRPr="009A4472" w:rsidRDefault="00112E9E" w:rsidP="008D38F6">
            <w:pPr>
              <w:rPr>
                <w:b/>
                <w:sz w:val="20"/>
                <w:szCs w:val="20"/>
              </w:rPr>
            </w:pPr>
            <w:r w:rsidRPr="009A4472">
              <w:rPr>
                <w:b/>
                <w:sz w:val="20"/>
                <w:szCs w:val="20"/>
              </w:rPr>
              <w:t>Prior Knowledge</w:t>
            </w:r>
          </w:p>
        </w:tc>
        <w:tc>
          <w:tcPr>
            <w:tcW w:w="3346" w:type="dxa"/>
            <w:shd w:val="clear" w:color="auto" w:fill="DBE5F1" w:themeFill="accent1" w:themeFillTint="33"/>
          </w:tcPr>
          <w:p w14:paraId="321B572C" w14:textId="77777777" w:rsidR="00112E9E" w:rsidRPr="009A4472" w:rsidRDefault="00112E9E" w:rsidP="00112E9E">
            <w:pPr>
              <w:pStyle w:val="ListParagraph"/>
              <w:numPr>
                <w:ilvl w:val="0"/>
                <w:numId w:val="7"/>
              </w:numPr>
              <w:spacing w:after="60" w:line="240" w:lineRule="auto"/>
              <w:rPr>
                <w:sz w:val="20"/>
                <w:szCs w:val="20"/>
              </w:rPr>
            </w:pPr>
            <w:r w:rsidRPr="009A4472">
              <w:rPr>
                <w:sz w:val="20"/>
                <w:szCs w:val="20"/>
              </w:rPr>
              <w:t xml:space="preserve">Record information (observations, thoughts, and ideas). </w:t>
            </w:r>
          </w:p>
          <w:p w14:paraId="5DEC07F4" w14:textId="77777777" w:rsidR="00112E9E" w:rsidRPr="009A4472" w:rsidRDefault="00112E9E" w:rsidP="00112E9E">
            <w:pPr>
              <w:pStyle w:val="ListParagraph"/>
              <w:numPr>
                <w:ilvl w:val="0"/>
                <w:numId w:val="7"/>
              </w:numPr>
              <w:spacing w:after="60" w:line="240" w:lineRule="auto"/>
              <w:rPr>
                <w:sz w:val="20"/>
                <w:szCs w:val="20"/>
              </w:rPr>
            </w:pPr>
            <w:r w:rsidRPr="009A4472">
              <w:rPr>
                <w:sz w:val="20"/>
                <w:szCs w:val="20"/>
              </w:rPr>
              <w:t>Analyze data.</w:t>
            </w:r>
          </w:p>
          <w:p w14:paraId="42F9F4BB" w14:textId="77777777" w:rsidR="00112E9E" w:rsidRPr="009A4472" w:rsidRDefault="00112E9E" w:rsidP="008D38F6">
            <w:pPr>
              <w:pStyle w:val="ListParagraph"/>
              <w:spacing w:after="60" w:line="240" w:lineRule="auto"/>
              <w:ind w:left="360"/>
              <w:rPr>
                <w:sz w:val="20"/>
                <w:szCs w:val="20"/>
              </w:rPr>
            </w:pPr>
          </w:p>
        </w:tc>
        <w:tc>
          <w:tcPr>
            <w:tcW w:w="3719" w:type="dxa"/>
            <w:shd w:val="clear" w:color="auto" w:fill="F2DBDB" w:themeFill="accent2" w:themeFillTint="33"/>
          </w:tcPr>
          <w:p w14:paraId="0A2E82A7" w14:textId="77777777" w:rsidR="00112E9E" w:rsidRPr="009A4472" w:rsidRDefault="00112E9E" w:rsidP="00112E9E">
            <w:pPr>
              <w:pStyle w:val="ListParagraph"/>
              <w:numPr>
                <w:ilvl w:val="0"/>
                <w:numId w:val="7"/>
              </w:numPr>
              <w:spacing w:after="60" w:line="240" w:lineRule="auto"/>
              <w:rPr>
                <w:sz w:val="20"/>
                <w:szCs w:val="20"/>
              </w:rPr>
            </w:pPr>
            <w:r w:rsidRPr="009A4472">
              <w:rPr>
                <w:sz w:val="20"/>
                <w:szCs w:val="20"/>
              </w:rPr>
              <w:t>There are patterns in the rising and setting of the sun and the moon.</w:t>
            </w:r>
          </w:p>
          <w:p w14:paraId="3556F68B" w14:textId="77777777" w:rsidR="00112E9E" w:rsidRPr="009A4472" w:rsidRDefault="00112E9E" w:rsidP="00112E9E">
            <w:pPr>
              <w:pStyle w:val="ListParagraph"/>
              <w:numPr>
                <w:ilvl w:val="0"/>
                <w:numId w:val="7"/>
              </w:numPr>
              <w:spacing w:after="60" w:line="240" w:lineRule="auto"/>
              <w:rPr>
                <w:sz w:val="20"/>
                <w:szCs w:val="20"/>
              </w:rPr>
            </w:pPr>
            <w:r w:rsidRPr="009A4472">
              <w:rPr>
                <w:sz w:val="20"/>
                <w:szCs w:val="20"/>
              </w:rPr>
              <w:t xml:space="preserve">At different times of the year there are different amounts of daylight. </w:t>
            </w:r>
          </w:p>
          <w:p w14:paraId="643CFCF9" w14:textId="77777777" w:rsidR="00112E9E" w:rsidRPr="009A4472" w:rsidRDefault="00112E9E" w:rsidP="008D38F6">
            <w:pPr>
              <w:pStyle w:val="ListParagraph"/>
              <w:spacing w:after="60" w:line="240" w:lineRule="auto"/>
              <w:ind w:left="360"/>
              <w:rPr>
                <w:sz w:val="20"/>
                <w:szCs w:val="20"/>
              </w:rPr>
            </w:pPr>
          </w:p>
        </w:tc>
        <w:tc>
          <w:tcPr>
            <w:tcW w:w="1346" w:type="dxa"/>
            <w:shd w:val="clear" w:color="auto" w:fill="F2F2F2" w:themeFill="background1" w:themeFillShade="F2"/>
          </w:tcPr>
          <w:p w14:paraId="12C1CB6E" w14:textId="77777777" w:rsidR="00112E9E" w:rsidRPr="009A4472" w:rsidRDefault="00112E9E" w:rsidP="008D38F6">
            <w:pPr>
              <w:spacing w:after="60"/>
              <w:rPr>
                <w:b/>
                <w:sz w:val="20"/>
                <w:szCs w:val="20"/>
              </w:rPr>
            </w:pPr>
            <w:r w:rsidRPr="009A4472">
              <w:rPr>
                <w:b/>
                <w:sz w:val="20"/>
                <w:szCs w:val="20"/>
              </w:rPr>
              <w:t>Relationships to SEPs</w:t>
            </w:r>
          </w:p>
        </w:tc>
        <w:tc>
          <w:tcPr>
            <w:tcW w:w="3054" w:type="dxa"/>
            <w:shd w:val="clear" w:color="auto" w:fill="EAF1DD" w:themeFill="accent3" w:themeFillTint="33"/>
          </w:tcPr>
          <w:p w14:paraId="2FA5EED0" w14:textId="77777777" w:rsidR="00112E9E" w:rsidRPr="009A4472" w:rsidRDefault="00112E9E" w:rsidP="00112E9E">
            <w:pPr>
              <w:pStyle w:val="ListParagraph"/>
              <w:numPr>
                <w:ilvl w:val="0"/>
                <w:numId w:val="3"/>
              </w:numPr>
              <w:spacing w:after="60" w:line="240" w:lineRule="auto"/>
              <w:rPr>
                <w:sz w:val="20"/>
                <w:szCs w:val="20"/>
              </w:rPr>
            </w:pPr>
            <w:r w:rsidRPr="009A4472">
              <w:rPr>
                <w:sz w:val="20"/>
                <w:szCs w:val="20"/>
              </w:rPr>
              <w:t>Recognizing patterns in data.</w:t>
            </w:r>
          </w:p>
          <w:p w14:paraId="0BC76FB7" w14:textId="77777777" w:rsidR="00112E9E" w:rsidRPr="009A4472" w:rsidRDefault="00112E9E" w:rsidP="00112E9E">
            <w:pPr>
              <w:pStyle w:val="ListParagraph"/>
              <w:numPr>
                <w:ilvl w:val="0"/>
                <w:numId w:val="7"/>
              </w:numPr>
              <w:spacing w:after="60" w:line="240" w:lineRule="auto"/>
              <w:rPr>
                <w:sz w:val="20"/>
                <w:szCs w:val="20"/>
              </w:rPr>
            </w:pPr>
            <w:r w:rsidRPr="009A4472">
              <w:rPr>
                <w:sz w:val="20"/>
                <w:szCs w:val="20"/>
              </w:rPr>
              <w:t>Use observations to describe patterns and/or</w:t>
            </w:r>
          </w:p>
          <w:p w14:paraId="7D158443" w14:textId="77777777" w:rsidR="00112E9E" w:rsidRPr="009A4472" w:rsidRDefault="00112E9E" w:rsidP="008D38F6">
            <w:pPr>
              <w:pStyle w:val="ListParagraph"/>
              <w:spacing w:after="60" w:line="240" w:lineRule="auto"/>
              <w:ind w:left="360"/>
              <w:rPr>
                <w:sz w:val="20"/>
                <w:szCs w:val="20"/>
              </w:rPr>
            </w:pPr>
            <w:r w:rsidRPr="009A4472">
              <w:rPr>
                <w:sz w:val="20"/>
                <w:szCs w:val="20"/>
              </w:rPr>
              <w:t xml:space="preserve">relationships in the natural and designed world(s) in order to answer scientific questions and solve problems. </w:t>
            </w:r>
          </w:p>
        </w:tc>
      </w:tr>
    </w:tbl>
    <w:p w14:paraId="292F44F2" w14:textId="2CDE0FFD" w:rsidR="00112E9E" w:rsidRDefault="00112E9E" w:rsidP="005A7955">
      <w:pPr>
        <w:spacing w:after="0"/>
        <w:rPr>
          <w:sz w:val="2"/>
          <w:szCs w:val="16"/>
        </w:rPr>
      </w:pPr>
    </w:p>
    <w:p w14:paraId="78C47782" w14:textId="7452966C" w:rsidR="00B72B2D" w:rsidRDefault="00B72B2D" w:rsidP="009A4472">
      <w:pPr>
        <w:pStyle w:val="BodyText1"/>
      </w:pPr>
    </w:p>
    <w:p w14:paraId="2CABEECB" w14:textId="1FF716AA" w:rsidR="006A6926" w:rsidRPr="00356558" w:rsidRDefault="006A6926" w:rsidP="006A6926">
      <w:pPr>
        <w:rPr>
          <w:rFonts w:eastAsia="Calibri"/>
          <w:sz w:val="18"/>
          <w:szCs w:val="18"/>
        </w:rPr>
      </w:pPr>
      <w:r>
        <w:lastRenderedPageBreak/>
        <w:t>This partially completed unpacking tool was</w:t>
      </w:r>
      <w:r w:rsidRPr="25D0DD65">
        <w:t xml:space="preserve"> developed with funding from the US Department of Education under Enhanced Assessment Grants Program CFDA 84.368A. The contents do not necessarily represent the policy of the US Department of Education, and no assumption of endorsement by the Federal government should be made. </w:t>
      </w:r>
      <w:bookmarkStart w:id="0" w:name="_GoBack"/>
      <w:r>
        <w:br/>
      </w:r>
      <w:bookmarkEnd w:id="0"/>
      <w:r>
        <w:br/>
      </w:r>
      <w:r w:rsidRPr="25D0DD65">
        <w:t xml:space="preserve">All rights reserved. Any or all portions of this document may be reproduced and distributed without prior permission, provided the source is cited as: Strengthening Claims-based Interpretations and Uses of Local and Large-scale Science Assessment Scores Project (SCILLSS). (2020). </w:t>
      </w:r>
      <w:r w:rsidRPr="25D0DD65">
        <w:rPr>
          <w:i/>
          <w:iCs/>
        </w:rPr>
        <w:t>SCILLSS Classroom Science Assessment Workshop</w:t>
      </w:r>
      <w:r>
        <w:rPr>
          <w:i/>
          <w:iCs/>
        </w:rPr>
        <w:t xml:space="preserve">: Grade 5 </w:t>
      </w:r>
      <w:r>
        <w:rPr>
          <w:i/>
          <w:iCs/>
        </w:rPr>
        <w:t>Partially Completed Unpacking Tool</w:t>
      </w:r>
      <w:r w:rsidRPr="25D0DD65">
        <w:t>. Lincoln, NE: Nebraska Department of Education.</w:t>
      </w:r>
    </w:p>
    <w:p w14:paraId="1F61A3B3" w14:textId="77777777" w:rsidR="006A6926" w:rsidRPr="00B72B2D" w:rsidRDefault="006A6926" w:rsidP="009A4472">
      <w:pPr>
        <w:pStyle w:val="BodyText1"/>
        <w:rPr>
          <w:sz w:val="2"/>
          <w:szCs w:val="16"/>
        </w:rPr>
      </w:pPr>
    </w:p>
    <w:sectPr w:rsidR="006A6926" w:rsidRPr="00B72B2D" w:rsidSect="00866584">
      <w:footerReference w:type="default" r:id="rId12"/>
      <w:pgSz w:w="15840" w:h="12240" w:orient="landscape" w:code="1"/>
      <w:pgMar w:top="1440" w:right="6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6E88B" w14:textId="77777777" w:rsidR="00B64F86" w:rsidRDefault="00B64F86" w:rsidP="008F6E2B">
      <w:pPr>
        <w:spacing w:after="0" w:line="240" w:lineRule="auto"/>
      </w:pPr>
      <w:r>
        <w:separator/>
      </w:r>
    </w:p>
  </w:endnote>
  <w:endnote w:type="continuationSeparator" w:id="0">
    <w:p w14:paraId="2EBD0FC1" w14:textId="77777777" w:rsidR="00B64F86" w:rsidRDefault="00B64F86" w:rsidP="008F6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B9BDA" w14:textId="4B2994E5" w:rsidR="008F6E2B" w:rsidRPr="00431C43" w:rsidRDefault="00431C43" w:rsidP="00112E9E">
    <w:pPr>
      <w:pStyle w:val="Footer"/>
    </w:pPr>
    <w:r>
      <w:t>SCILLSS Classroom</w:t>
    </w:r>
    <w:r w:rsidR="00A50649">
      <w:t xml:space="preserve"> Science</w:t>
    </w:r>
    <w:r>
      <w:t xml:space="preserve"> Assessment Worksho</w:t>
    </w:r>
    <w:r w:rsidR="00F26A56">
      <w:t>p: Grade 5 Partially Completed Unpacking Tool</w:t>
    </w:r>
    <w:r w:rsidR="00F26A56">
      <w:tab/>
    </w:r>
    <w:r w:rsidR="00F26A56">
      <w:tab/>
    </w:r>
    <w:r w:rsidR="00F26A56">
      <w:tab/>
    </w:r>
    <w:r w:rsidR="00F26A56">
      <w:tab/>
    </w:r>
    <w:r w:rsidR="00F26A56">
      <w:tab/>
    </w:r>
    <w:r w:rsidR="00112E9E">
      <w:tab/>
    </w:r>
    <w:sdt>
      <w:sdtPr>
        <w:id w:val="92939168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18B52" w14:textId="77777777" w:rsidR="00B64F86" w:rsidRDefault="00B64F86" w:rsidP="008F6E2B">
      <w:pPr>
        <w:spacing w:after="0" w:line="240" w:lineRule="auto"/>
      </w:pPr>
      <w:r>
        <w:separator/>
      </w:r>
    </w:p>
  </w:footnote>
  <w:footnote w:type="continuationSeparator" w:id="0">
    <w:p w14:paraId="569B646A" w14:textId="77777777" w:rsidR="00B64F86" w:rsidRDefault="00B64F86" w:rsidP="008F6E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4677D"/>
    <w:multiLevelType w:val="hybridMultilevel"/>
    <w:tmpl w:val="1624A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9437847"/>
    <w:multiLevelType w:val="hybridMultilevel"/>
    <w:tmpl w:val="302A3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B746856"/>
    <w:multiLevelType w:val="hybridMultilevel"/>
    <w:tmpl w:val="46861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3B34B98"/>
    <w:multiLevelType w:val="hybridMultilevel"/>
    <w:tmpl w:val="877C1554"/>
    <w:lvl w:ilvl="0" w:tplc="82380FEC">
      <w:start w:val="1"/>
      <w:numFmt w:val="bullet"/>
      <w:pStyle w:val="Bullets"/>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A5E01D5"/>
    <w:multiLevelType w:val="hybridMultilevel"/>
    <w:tmpl w:val="DCA08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B7F37F5"/>
    <w:multiLevelType w:val="hybridMultilevel"/>
    <w:tmpl w:val="62586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BF909FB"/>
    <w:multiLevelType w:val="hybridMultilevel"/>
    <w:tmpl w:val="1C26594E"/>
    <w:lvl w:ilvl="0" w:tplc="57002F2E">
      <w:start w:val="1"/>
      <w:numFmt w:val="bullet"/>
      <w:pStyle w:val="BulletsLevel1"/>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3tDQ0NDcwMTI3NDNW0lEKTi0uzszPAykwrgUAbOHMGywAAAA="/>
  </w:docVars>
  <w:rsids>
    <w:rsidRoot w:val="005C1F8A"/>
    <w:rsid w:val="00000BDB"/>
    <w:rsid w:val="000017BE"/>
    <w:rsid w:val="00022BFA"/>
    <w:rsid w:val="00032D8E"/>
    <w:rsid w:val="00060C47"/>
    <w:rsid w:val="00086F3F"/>
    <w:rsid w:val="00100F68"/>
    <w:rsid w:val="00112E9E"/>
    <w:rsid w:val="00124763"/>
    <w:rsid w:val="0014758A"/>
    <w:rsid w:val="00192C70"/>
    <w:rsid w:val="001F0BF0"/>
    <w:rsid w:val="00217A7D"/>
    <w:rsid w:val="002208C9"/>
    <w:rsid w:val="00226607"/>
    <w:rsid w:val="002A3949"/>
    <w:rsid w:val="002A3EC2"/>
    <w:rsid w:val="002B75B9"/>
    <w:rsid w:val="002C0FF6"/>
    <w:rsid w:val="002D6FEA"/>
    <w:rsid w:val="00301E0D"/>
    <w:rsid w:val="00340A44"/>
    <w:rsid w:val="00394BBC"/>
    <w:rsid w:val="003B713A"/>
    <w:rsid w:val="003C7814"/>
    <w:rsid w:val="00431C43"/>
    <w:rsid w:val="0044518E"/>
    <w:rsid w:val="004F0DE1"/>
    <w:rsid w:val="00511E8A"/>
    <w:rsid w:val="00513B36"/>
    <w:rsid w:val="00515A4E"/>
    <w:rsid w:val="00516D7A"/>
    <w:rsid w:val="005254D7"/>
    <w:rsid w:val="00527476"/>
    <w:rsid w:val="00533972"/>
    <w:rsid w:val="00557293"/>
    <w:rsid w:val="005A1D5E"/>
    <w:rsid w:val="005A7955"/>
    <w:rsid w:val="005B02E8"/>
    <w:rsid w:val="005C1F8A"/>
    <w:rsid w:val="005E748B"/>
    <w:rsid w:val="00620E63"/>
    <w:rsid w:val="006A6926"/>
    <w:rsid w:val="006C2935"/>
    <w:rsid w:val="0078369C"/>
    <w:rsid w:val="007942B1"/>
    <w:rsid w:val="007E67C0"/>
    <w:rsid w:val="00804F6A"/>
    <w:rsid w:val="00851F75"/>
    <w:rsid w:val="00856BF9"/>
    <w:rsid w:val="00866584"/>
    <w:rsid w:val="008B0DA2"/>
    <w:rsid w:val="008F6E2B"/>
    <w:rsid w:val="00963029"/>
    <w:rsid w:val="00991EF9"/>
    <w:rsid w:val="009A4472"/>
    <w:rsid w:val="009B555D"/>
    <w:rsid w:val="009E3DED"/>
    <w:rsid w:val="00A1488B"/>
    <w:rsid w:val="00A31A96"/>
    <w:rsid w:val="00A50649"/>
    <w:rsid w:val="00A5762F"/>
    <w:rsid w:val="00A87064"/>
    <w:rsid w:val="00AF6F01"/>
    <w:rsid w:val="00B03175"/>
    <w:rsid w:val="00B1010D"/>
    <w:rsid w:val="00B34057"/>
    <w:rsid w:val="00B34CCB"/>
    <w:rsid w:val="00B64F86"/>
    <w:rsid w:val="00B71802"/>
    <w:rsid w:val="00B72B2D"/>
    <w:rsid w:val="00B8625C"/>
    <w:rsid w:val="00B872E1"/>
    <w:rsid w:val="00BB1533"/>
    <w:rsid w:val="00BB1CCD"/>
    <w:rsid w:val="00BE0F6D"/>
    <w:rsid w:val="00C14B92"/>
    <w:rsid w:val="00C27337"/>
    <w:rsid w:val="00C40373"/>
    <w:rsid w:val="00C62A58"/>
    <w:rsid w:val="00C92C54"/>
    <w:rsid w:val="00CA7C8E"/>
    <w:rsid w:val="00CE5B9C"/>
    <w:rsid w:val="00D115EA"/>
    <w:rsid w:val="00D45DAC"/>
    <w:rsid w:val="00D56176"/>
    <w:rsid w:val="00D74FD7"/>
    <w:rsid w:val="00D9232C"/>
    <w:rsid w:val="00DA5728"/>
    <w:rsid w:val="00DB16D5"/>
    <w:rsid w:val="00E00988"/>
    <w:rsid w:val="00E10481"/>
    <w:rsid w:val="00E37319"/>
    <w:rsid w:val="00E51BCD"/>
    <w:rsid w:val="00E5320D"/>
    <w:rsid w:val="00EC2C4E"/>
    <w:rsid w:val="00F25010"/>
    <w:rsid w:val="00F26A56"/>
    <w:rsid w:val="00F53F0B"/>
    <w:rsid w:val="00F6665B"/>
    <w:rsid w:val="00F925F7"/>
    <w:rsid w:val="00FE61E0"/>
    <w:rsid w:val="00FF0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11C3F"/>
  <w15:chartTrackingRefBased/>
  <w15:docId w15:val="{9791804E-28EF-43E4-A515-104AAF701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C1F8A"/>
    <w:pPr>
      <w:spacing w:after="160" w:line="259" w:lineRule="auto"/>
    </w:pPr>
    <w:rPr>
      <w:rFonts w:asciiTheme="minorHAnsi" w:eastAsiaTheme="minorHAnsi" w:hAnsiTheme="minorHAnsi" w:cstheme="minorBidi"/>
    </w:rPr>
  </w:style>
  <w:style w:type="paragraph" w:styleId="Heading1">
    <w:name w:val="heading 1"/>
    <w:basedOn w:val="Normal"/>
    <w:next w:val="BodyText1"/>
    <w:link w:val="Heading1Char"/>
    <w:qFormat/>
    <w:rsid w:val="00E00988"/>
    <w:pPr>
      <w:keepNext/>
      <w:spacing w:before="360" w:after="120"/>
      <w:outlineLvl w:val="0"/>
    </w:pPr>
    <w:rPr>
      <w:b/>
      <w:bCs/>
      <w:kern w:val="32"/>
      <w:sz w:val="28"/>
      <w:lang w:bidi="en-US"/>
    </w:rPr>
  </w:style>
  <w:style w:type="paragraph" w:styleId="Heading2">
    <w:name w:val="heading 2"/>
    <w:basedOn w:val="Normal"/>
    <w:next w:val="Normal"/>
    <w:link w:val="Heading2Char"/>
    <w:qFormat/>
    <w:rsid w:val="00E00988"/>
    <w:pPr>
      <w:keepNext/>
      <w:spacing w:after="60"/>
      <w:outlineLvl w:val="1"/>
    </w:pPr>
    <w:rPr>
      <w:b/>
      <w:iCs/>
      <w:sz w:val="24"/>
      <w:lang w:bidi="en-US"/>
    </w:rPr>
  </w:style>
  <w:style w:type="paragraph" w:styleId="Heading3">
    <w:name w:val="heading 3"/>
    <w:basedOn w:val="Normal"/>
    <w:next w:val="Normal"/>
    <w:link w:val="Heading3Char"/>
    <w:qFormat/>
    <w:rsid w:val="00E00988"/>
    <w:pPr>
      <w:keepNext/>
      <w:spacing w:before="240" w:after="60"/>
      <w:outlineLvl w:val="2"/>
    </w:pPr>
    <w:rPr>
      <w:b/>
      <w:bCs/>
      <w:i/>
      <w:color w:val="7F7F7F"/>
    </w:rPr>
  </w:style>
  <w:style w:type="paragraph" w:styleId="Heading4">
    <w:name w:val="heading 4"/>
    <w:basedOn w:val="Normal"/>
    <w:next w:val="Normal"/>
    <w:link w:val="Heading4Char"/>
    <w:qFormat/>
    <w:rsid w:val="00E00988"/>
    <w:pPr>
      <w:keepNext/>
      <w:spacing w:after="240"/>
      <w:outlineLvl w:val="3"/>
    </w:pPr>
    <w:rPr>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Char"/>
    <w:qFormat/>
    <w:rsid w:val="00E00988"/>
    <w:pPr>
      <w:spacing w:after="240"/>
    </w:pPr>
  </w:style>
  <w:style w:type="character" w:customStyle="1" w:styleId="BodytextChar">
    <w:name w:val="Body text Char"/>
    <w:basedOn w:val="DefaultParagraphFont"/>
    <w:link w:val="BodyText1"/>
    <w:rsid w:val="00E00988"/>
    <w:rPr>
      <w:rFonts w:ascii="Calibri" w:hAnsi="Calibri" w:cs="Arial"/>
      <w:sz w:val="22"/>
      <w:szCs w:val="22"/>
    </w:rPr>
  </w:style>
  <w:style w:type="paragraph" w:customStyle="1" w:styleId="Exhibitheading">
    <w:name w:val="Exhibit heading"/>
    <w:basedOn w:val="Normal"/>
    <w:link w:val="ExhibitheadingChar"/>
    <w:qFormat/>
    <w:rsid w:val="00E00988"/>
    <w:pPr>
      <w:spacing w:after="120"/>
    </w:pPr>
    <w:rPr>
      <w:b/>
      <w:lang w:bidi="en-US"/>
    </w:rPr>
  </w:style>
  <w:style w:type="character" w:customStyle="1" w:styleId="ExhibitheadingChar">
    <w:name w:val="Exhibit heading Char"/>
    <w:basedOn w:val="DefaultParagraphFont"/>
    <w:link w:val="Exhibitheading"/>
    <w:rsid w:val="00E00988"/>
    <w:rPr>
      <w:rFonts w:ascii="Calibri" w:hAnsi="Calibri" w:cs="Arial"/>
      <w:b/>
      <w:sz w:val="22"/>
      <w:szCs w:val="22"/>
      <w:lang w:bidi="en-US"/>
    </w:rPr>
  </w:style>
  <w:style w:type="character" w:customStyle="1" w:styleId="Heading1Char">
    <w:name w:val="Heading 1 Char"/>
    <w:basedOn w:val="DefaultParagraphFont"/>
    <w:link w:val="Heading1"/>
    <w:rsid w:val="00E00988"/>
    <w:rPr>
      <w:rFonts w:ascii="Calibri" w:hAnsi="Calibri" w:cs="Arial"/>
      <w:b/>
      <w:bCs/>
      <w:kern w:val="32"/>
      <w:sz w:val="28"/>
      <w:szCs w:val="22"/>
      <w:lang w:bidi="en-US"/>
    </w:rPr>
  </w:style>
  <w:style w:type="character" w:customStyle="1" w:styleId="Heading2Char">
    <w:name w:val="Heading 2 Char"/>
    <w:basedOn w:val="DefaultParagraphFont"/>
    <w:link w:val="Heading2"/>
    <w:rsid w:val="00E00988"/>
    <w:rPr>
      <w:rFonts w:ascii="Calibri" w:hAnsi="Calibri" w:cs="Arial"/>
      <w:b/>
      <w:iCs/>
      <w:sz w:val="24"/>
      <w:szCs w:val="22"/>
      <w:lang w:bidi="en-US"/>
    </w:rPr>
  </w:style>
  <w:style w:type="character" w:customStyle="1" w:styleId="Heading3Char">
    <w:name w:val="Heading 3 Char"/>
    <w:basedOn w:val="DefaultParagraphFont"/>
    <w:link w:val="Heading3"/>
    <w:rsid w:val="00E00988"/>
    <w:rPr>
      <w:rFonts w:ascii="Calibri" w:hAnsi="Calibri" w:cs="Arial"/>
      <w:b/>
      <w:bCs/>
      <w:i/>
      <w:color w:val="7F7F7F"/>
      <w:sz w:val="22"/>
      <w:szCs w:val="22"/>
    </w:rPr>
  </w:style>
  <w:style w:type="character" w:customStyle="1" w:styleId="Heading4Char">
    <w:name w:val="Heading 4 Char"/>
    <w:basedOn w:val="DefaultParagraphFont"/>
    <w:link w:val="Heading4"/>
    <w:rsid w:val="00E00988"/>
    <w:rPr>
      <w:rFonts w:ascii="Calibri" w:hAnsi="Calibri" w:cs="Arial"/>
      <w:b/>
      <w:bCs/>
      <w:sz w:val="22"/>
      <w:szCs w:val="22"/>
      <w:lang w:bidi="en-US"/>
    </w:rPr>
  </w:style>
  <w:style w:type="paragraph" w:styleId="TOC1">
    <w:name w:val="toc 1"/>
    <w:basedOn w:val="Normal"/>
    <w:next w:val="Normal"/>
    <w:autoRedefine/>
    <w:uiPriority w:val="39"/>
    <w:unhideWhenUsed/>
    <w:qFormat/>
    <w:rsid w:val="00E00988"/>
    <w:pPr>
      <w:tabs>
        <w:tab w:val="right" w:leader="dot" w:pos="9350"/>
      </w:tabs>
      <w:spacing w:after="100"/>
    </w:pPr>
    <w:rPr>
      <w:lang w:bidi="en-US"/>
    </w:rPr>
  </w:style>
  <w:style w:type="paragraph" w:styleId="TOC2">
    <w:name w:val="toc 2"/>
    <w:basedOn w:val="Normal"/>
    <w:next w:val="Normal"/>
    <w:autoRedefine/>
    <w:uiPriority w:val="39"/>
    <w:unhideWhenUsed/>
    <w:qFormat/>
    <w:rsid w:val="00E00988"/>
    <w:pPr>
      <w:spacing w:after="100"/>
      <w:ind w:left="220"/>
    </w:pPr>
    <w:rPr>
      <w:lang w:bidi="en-US"/>
    </w:rPr>
  </w:style>
  <w:style w:type="paragraph" w:styleId="Title">
    <w:name w:val="Title"/>
    <w:basedOn w:val="Normal"/>
    <w:next w:val="Normal"/>
    <w:link w:val="TitleChar"/>
    <w:uiPriority w:val="10"/>
    <w:qFormat/>
    <w:rsid w:val="00E00988"/>
    <w:pPr>
      <w:pBdr>
        <w:bottom w:val="single" w:sz="8" w:space="1" w:color="4F81BD" w:themeColor="accent1"/>
      </w:pBdr>
      <w:spacing w:after="300"/>
    </w:pPr>
    <w:rPr>
      <w:sz w:val="52"/>
      <w:lang w:bidi="en-US"/>
    </w:rPr>
  </w:style>
  <w:style w:type="character" w:customStyle="1" w:styleId="TitleChar">
    <w:name w:val="Title Char"/>
    <w:basedOn w:val="DefaultParagraphFont"/>
    <w:link w:val="Title"/>
    <w:uiPriority w:val="10"/>
    <w:rsid w:val="00E00988"/>
    <w:rPr>
      <w:rFonts w:ascii="Calibri" w:hAnsi="Calibri" w:cs="Arial"/>
      <w:sz w:val="52"/>
      <w:szCs w:val="52"/>
      <w:lang w:bidi="en-US"/>
    </w:rPr>
  </w:style>
  <w:style w:type="paragraph" w:styleId="TOCHeading">
    <w:name w:val="TOC Heading"/>
    <w:basedOn w:val="Heading1"/>
    <w:next w:val="Normal"/>
    <w:uiPriority w:val="39"/>
    <w:qFormat/>
    <w:rsid w:val="00E00988"/>
    <w:pPr>
      <w:keepLines/>
      <w:spacing w:before="480" w:after="0" w:line="276" w:lineRule="auto"/>
      <w:outlineLvl w:val="9"/>
    </w:pPr>
    <w:rPr>
      <w:rFonts w:cs="Times New Roman"/>
      <w:kern w:val="0"/>
      <w:szCs w:val="28"/>
    </w:rPr>
  </w:style>
  <w:style w:type="paragraph" w:customStyle="1" w:styleId="BulletsLevel1">
    <w:name w:val="Bullets (Level 1)"/>
    <w:basedOn w:val="BodyText1"/>
    <w:qFormat/>
    <w:rsid w:val="00000BDB"/>
    <w:pPr>
      <w:numPr>
        <w:numId w:val="1"/>
      </w:numPr>
      <w:spacing w:after="120"/>
    </w:pPr>
  </w:style>
  <w:style w:type="paragraph" w:customStyle="1" w:styleId="Bullets">
    <w:name w:val="Bullets"/>
    <w:basedOn w:val="ListParagraph"/>
    <w:qFormat/>
    <w:rsid w:val="002C0FF6"/>
    <w:pPr>
      <w:numPr>
        <w:numId w:val="2"/>
      </w:numPr>
      <w:spacing w:after="120"/>
      <w:contextualSpacing w:val="0"/>
    </w:pPr>
  </w:style>
  <w:style w:type="paragraph" w:styleId="ListParagraph">
    <w:name w:val="List Paragraph"/>
    <w:basedOn w:val="Normal"/>
    <w:uiPriority w:val="34"/>
    <w:qFormat/>
    <w:rsid w:val="002C0FF6"/>
    <w:pPr>
      <w:ind w:left="720"/>
      <w:contextualSpacing/>
    </w:pPr>
  </w:style>
  <w:style w:type="table" w:customStyle="1" w:styleId="TableGrid2">
    <w:name w:val="Table Grid2"/>
    <w:basedOn w:val="TableNormal"/>
    <w:next w:val="TableGrid"/>
    <w:uiPriority w:val="39"/>
    <w:rsid w:val="005C1F8A"/>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C1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6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E2B"/>
    <w:rPr>
      <w:rFonts w:asciiTheme="minorHAnsi" w:eastAsiaTheme="minorHAnsi" w:hAnsiTheme="minorHAnsi" w:cstheme="minorBidi"/>
    </w:rPr>
  </w:style>
  <w:style w:type="paragraph" w:styleId="Footer">
    <w:name w:val="footer"/>
    <w:basedOn w:val="Normal"/>
    <w:link w:val="FooterChar"/>
    <w:uiPriority w:val="99"/>
    <w:unhideWhenUsed/>
    <w:rsid w:val="008F6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E2B"/>
    <w:rPr>
      <w:rFonts w:asciiTheme="minorHAnsi" w:eastAsiaTheme="minorHAnsi" w:hAnsiTheme="minorHAnsi" w:cstheme="minorBidi"/>
    </w:rPr>
  </w:style>
  <w:style w:type="character" w:styleId="Hyperlink">
    <w:name w:val="Hyperlink"/>
    <w:basedOn w:val="DefaultParagraphFont"/>
    <w:uiPriority w:val="99"/>
    <w:semiHidden/>
    <w:unhideWhenUsed/>
    <w:rsid w:val="00301E0D"/>
    <w:rPr>
      <w:color w:val="0000FF"/>
      <w:u w:val="single"/>
    </w:rPr>
  </w:style>
  <w:style w:type="paragraph" w:styleId="BalloonText">
    <w:name w:val="Balloon Text"/>
    <w:basedOn w:val="Normal"/>
    <w:link w:val="BalloonTextChar"/>
    <w:uiPriority w:val="99"/>
    <w:semiHidden/>
    <w:unhideWhenUsed/>
    <w:rsid w:val="00B72B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B2D"/>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894B32B161184697F347E65CE76A13" ma:contentTypeVersion="10" ma:contentTypeDescription="Create a new document." ma:contentTypeScope="" ma:versionID="f8d7b899c5323f7ac6cf2569b0244ba3">
  <xsd:schema xmlns:xsd="http://www.w3.org/2001/XMLSchema" xmlns:xs="http://www.w3.org/2001/XMLSchema" xmlns:p="http://schemas.microsoft.com/office/2006/metadata/properties" xmlns:ns3="12720990-7c57-49cb-b9f0-7c254cdd2d09" targetNamespace="http://schemas.microsoft.com/office/2006/metadata/properties" ma:root="true" ma:fieldsID="137784ded68c27b52041503ed192c8cf" ns3:_="">
    <xsd:import namespace="12720990-7c57-49cb-b9f0-7c254cdd2d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20990-7c57-49cb-b9f0-7c254cdd2d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2536C-DEED-4D0D-8F41-9B2EFB972F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71856E-1193-4C43-9DF6-C5E9AFD9FFE7}">
  <ds:schemaRefs>
    <ds:schemaRef ds:uri="http://schemas.microsoft.com/sharepoint/v3/contenttype/forms"/>
  </ds:schemaRefs>
</ds:datastoreItem>
</file>

<file path=customXml/itemProps3.xml><?xml version="1.0" encoding="utf-8"?>
<ds:datastoreItem xmlns:ds="http://schemas.openxmlformats.org/officeDocument/2006/customXml" ds:itemID="{A914D38A-D585-42C0-ACE7-DC3959C60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20990-7c57-49cb-b9f0-7c254cdd2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BD2B76-F5C4-415B-ABE5-8B528FEF8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428</Words>
  <Characters>2446</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Grade 5 Partially Completed Unpacking Tool</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Harding</dc:creator>
  <cp:keywords/>
  <dc:description/>
  <cp:lastModifiedBy>Erin Buchanan</cp:lastModifiedBy>
  <cp:revision>34</cp:revision>
  <cp:lastPrinted>2019-05-28T18:20:00Z</cp:lastPrinted>
  <dcterms:created xsi:type="dcterms:W3CDTF">2020-01-10T22:10:00Z</dcterms:created>
  <dcterms:modified xsi:type="dcterms:W3CDTF">2020-04-29T14:39:00Z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0x010100AC894B32B161184697F347E65CE76A13</vt:lpwstr>
  </property>
</Properties>
</file>