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C63A3" w14:textId="1E885C8C" w:rsidR="009A3623" w:rsidRPr="009A3623" w:rsidRDefault="009A3623" w:rsidP="009D40AD">
      <w:pPr>
        <w:pBdr>
          <w:bottom w:val="single" w:sz="4" w:space="1" w:color="0070C0"/>
        </w:pBdr>
        <w:tabs>
          <w:tab w:val="left" w:pos="12960"/>
        </w:tabs>
        <w:spacing w:after="0" w:line="256" w:lineRule="auto"/>
        <w:jc w:val="right"/>
        <w:rPr>
          <w:rFonts w:ascii="Calibri" w:eastAsia="Calibri" w:hAnsi="Calibri" w:cs="Times New Roman"/>
          <w:szCs w:val="16"/>
        </w:rPr>
      </w:pPr>
      <w:r w:rsidRPr="009A3623">
        <w:rPr>
          <w:rFonts w:ascii="Calibri" w:eastAsia="Calibri" w:hAnsi="Calibri" w:cs="Times New Roman"/>
          <w:noProof/>
        </w:rPr>
        <w:drawing>
          <wp:anchor distT="0" distB="0" distL="114300" distR="114300" simplePos="0" relativeHeight="251659264" behindDoc="0" locked="0" layoutInCell="1" allowOverlap="1" wp14:anchorId="2F406C9F" wp14:editId="5593D85E">
            <wp:simplePos x="0" y="0"/>
            <wp:positionH relativeFrom="margin">
              <wp:posOffset>-66675</wp:posOffset>
            </wp:positionH>
            <wp:positionV relativeFrom="paragraph">
              <wp:posOffset>-428625</wp:posOffset>
            </wp:positionV>
            <wp:extent cx="781050" cy="777875"/>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777875"/>
                    </a:xfrm>
                    <a:prstGeom prst="rect">
                      <a:avLst/>
                    </a:prstGeom>
                    <a:noFill/>
                  </pic:spPr>
                </pic:pic>
              </a:graphicData>
            </a:graphic>
            <wp14:sizeRelH relativeFrom="margin">
              <wp14:pctWidth>0</wp14:pctWidth>
            </wp14:sizeRelH>
            <wp14:sizeRelV relativeFrom="margin">
              <wp14:pctHeight>0</wp14:pctHeight>
            </wp14:sizeRelV>
          </wp:anchor>
        </w:drawing>
      </w:r>
      <w:r w:rsidRPr="009A3623">
        <w:rPr>
          <w:rFonts w:ascii="Calibri" w:eastAsia="Calibri" w:hAnsi="Calibri" w:cs="Calibri"/>
          <w:noProof/>
          <w:color w:val="0070C0"/>
          <w:sz w:val="40"/>
          <w:szCs w:val="28"/>
        </w:rPr>
        <w:t>SCILLSS Classroom Science Assessment Workshop</w:t>
      </w:r>
    </w:p>
    <w:p w14:paraId="16074074" w14:textId="0FE7EF0C" w:rsidR="009A3623" w:rsidRPr="009A3623" w:rsidRDefault="009A3623" w:rsidP="00032F11">
      <w:pPr>
        <w:keepNext/>
        <w:spacing w:after="240" w:line="256" w:lineRule="auto"/>
        <w:outlineLvl w:val="1"/>
        <w:rPr>
          <w:rFonts w:ascii="Calibri" w:eastAsia="Calibri" w:hAnsi="Calibri" w:cs="Times New Roman"/>
          <w:b/>
          <w:iCs/>
          <w:color w:val="0070C0"/>
          <w:sz w:val="28"/>
          <w:szCs w:val="24"/>
          <w:lang w:bidi="en-US"/>
        </w:rPr>
      </w:pPr>
      <w:r w:rsidRPr="009A3623">
        <w:rPr>
          <w:rFonts w:ascii="Calibri" w:eastAsia="Calibri" w:hAnsi="Calibri" w:cs="Times New Roman"/>
          <w:b/>
          <w:iCs/>
          <w:color w:val="0070C0"/>
          <w:sz w:val="28"/>
          <w:szCs w:val="24"/>
          <w:lang w:bidi="en-US"/>
        </w:rPr>
        <w:t>H</w:t>
      </w:r>
      <w:r w:rsidR="009D40AD">
        <w:rPr>
          <w:rFonts w:ascii="Calibri" w:eastAsia="Calibri" w:hAnsi="Calibri" w:cs="Times New Roman"/>
          <w:b/>
          <w:iCs/>
          <w:color w:val="0070C0"/>
          <w:sz w:val="28"/>
          <w:szCs w:val="24"/>
          <w:lang w:bidi="en-US"/>
        </w:rPr>
        <w:t>igh School</w:t>
      </w:r>
      <w:r w:rsidRPr="009A3623">
        <w:rPr>
          <w:rFonts w:ascii="Calibri" w:eastAsia="Calibri" w:hAnsi="Calibri" w:cs="Times New Roman"/>
          <w:b/>
          <w:iCs/>
          <w:color w:val="0070C0"/>
          <w:sz w:val="28"/>
          <w:szCs w:val="24"/>
          <w:lang w:bidi="en-US"/>
        </w:rPr>
        <w:t xml:space="preserve"> Earth and Space Science </w:t>
      </w:r>
      <w:r w:rsidR="009D40AD">
        <w:rPr>
          <w:rFonts w:ascii="Calibri" w:eastAsia="Calibri" w:hAnsi="Calibri" w:cs="Times New Roman"/>
          <w:b/>
          <w:iCs/>
          <w:color w:val="0070C0"/>
          <w:sz w:val="28"/>
          <w:szCs w:val="24"/>
          <w:lang w:bidi="en-US"/>
        </w:rPr>
        <w:t xml:space="preserve">Partially Completed </w:t>
      </w:r>
      <w:r w:rsidRPr="009A3623">
        <w:rPr>
          <w:rFonts w:ascii="Calibri" w:eastAsia="Calibri" w:hAnsi="Calibri" w:cs="Times New Roman"/>
          <w:b/>
          <w:iCs/>
          <w:color w:val="0070C0"/>
          <w:sz w:val="28"/>
          <w:szCs w:val="24"/>
          <w:lang w:bidi="en-US"/>
        </w:rPr>
        <w:t>Unpacking Tool</w:t>
      </w:r>
    </w:p>
    <w:tbl>
      <w:tblPr>
        <w:tblStyle w:val="TableGrid2"/>
        <w:tblpPr w:leftFromText="180" w:rightFromText="180" w:vertAnchor="page" w:horzAnchor="margin" w:tblpY="2783"/>
        <w:tblW w:w="1377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24"/>
        <w:gridCol w:w="3986"/>
        <w:gridCol w:w="4410"/>
        <w:gridCol w:w="1620"/>
        <w:gridCol w:w="2430"/>
      </w:tblGrid>
      <w:tr w:rsidR="005A7955" w:rsidRPr="002F6FAA" w14:paraId="51FE50F3" w14:textId="77777777" w:rsidTr="00985ACF">
        <w:trPr>
          <w:trHeight w:val="168"/>
        </w:trPr>
        <w:tc>
          <w:tcPr>
            <w:tcW w:w="1324" w:type="dxa"/>
            <w:shd w:val="clear" w:color="auto" w:fill="auto"/>
          </w:tcPr>
          <w:p w14:paraId="0A50B44F" w14:textId="77777777" w:rsidR="005A7955" w:rsidRPr="002F6FAA" w:rsidRDefault="005A7955" w:rsidP="0012672E">
            <w:pPr>
              <w:rPr>
                <w:rFonts w:cstheme="minorHAnsi"/>
                <w:b/>
              </w:rPr>
            </w:pPr>
            <w:r w:rsidRPr="002F6FAA">
              <w:rPr>
                <w:rFonts w:cstheme="minorHAnsi"/>
                <w:b/>
              </w:rPr>
              <w:t xml:space="preserve">Grade:    </w:t>
            </w:r>
          </w:p>
        </w:tc>
        <w:tc>
          <w:tcPr>
            <w:tcW w:w="3986" w:type="dxa"/>
            <w:shd w:val="clear" w:color="auto" w:fill="auto"/>
          </w:tcPr>
          <w:p w14:paraId="5521EAA7" w14:textId="07C59D2A" w:rsidR="005A7955" w:rsidRPr="002F6FAA" w:rsidRDefault="00463729" w:rsidP="00985ACF">
            <w:pPr>
              <w:spacing w:after="0"/>
              <w:rPr>
                <w:rFonts w:cstheme="minorHAnsi"/>
                <w:bCs/>
              </w:rPr>
            </w:pPr>
            <w:r w:rsidRPr="002F6FAA">
              <w:rPr>
                <w:rFonts w:cstheme="minorHAnsi"/>
                <w:bCs/>
              </w:rPr>
              <w:t>High</w:t>
            </w:r>
            <w:r w:rsidR="008F08ED" w:rsidRPr="002F6FAA">
              <w:rPr>
                <w:rFonts w:cstheme="minorHAnsi"/>
                <w:bCs/>
              </w:rPr>
              <w:t xml:space="preserve"> School</w:t>
            </w:r>
          </w:p>
        </w:tc>
        <w:tc>
          <w:tcPr>
            <w:tcW w:w="4410" w:type="dxa"/>
            <w:shd w:val="clear" w:color="auto" w:fill="auto"/>
          </w:tcPr>
          <w:p w14:paraId="1133EC1A" w14:textId="77777777" w:rsidR="005A7955" w:rsidRPr="002F6FAA" w:rsidRDefault="005A7955" w:rsidP="00985ACF">
            <w:pPr>
              <w:spacing w:after="0"/>
              <w:jc w:val="center"/>
              <w:rPr>
                <w:rFonts w:cstheme="minorHAnsi"/>
                <w:b/>
              </w:rPr>
            </w:pPr>
          </w:p>
        </w:tc>
        <w:tc>
          <w:tcPr>
            <w:tcW w:w="4050" w:type="dxa"/>
            <w:gridSpan w:val="2"/>
            <w:shd w:val="clear" w:color="auto" w:fill="auto"/>
          </w:tcPr>
          <w:p w14:paraId="0FF55659" w14:textId="77777777" w:rsidR="005A7955" w:rsidRPr="002F6FAA" w:rsidRDefault="005A7955" w:rsidP="00985ACF">
            <w:pPr>
              <w:spacing w:after="0"/>
              <w:jc w:val="center"/>
              <w:rPr>
                <w:rFonts w:cstheme="minorHAnsi"/>
                <w:b/>
              </w:rPr>
            </w:pPr>
          </w:p>
        </w:tc>
      </w:tr>
      <w:tr w:rsidR="00E63A3C" w:rsidRPr="002F6FAA" w14:paraId="658580B5" w14:textId="77777777" w:rsidTr="00D61474">
        <w:trPr>
          <w:trHeight w:val="252"/>
        </w:trPr>
        <w:tc>
          <w:tcPr>
            <w:tcW w:w="13770" w:type="dxa"/>
            <w:gridSpan w:val="5"/>
            <w:shd w:val="clear" w:color="auto" w:fill="auto"/>
          </w:tcPr>
          <w:p w14:paraId="283A741F" w14:textId="353EC618" w:rsidR="00E63A3C" w:rsidRPr="002F6FAA" w:rsidRDefault="00E63A3C" w:rsidP="00E63A3C">
            <w:pPr>
              <w:rPr>
                <w:rFonts w:cstheme="minorHAnsi"/>
                <w:b/>
              </w:rPr>
            </w:pPr>
            <w:r w:rsidRPr="002F6FAA">
              <w:rPr>
                <w:rFonts w:cstheme="minorHAnsi"/>
                <w:b/>
              </w:rPr>
              <w:t>NSGG P</w:t>
            </w:r>
            <w:r>
              <w:rPr>
                <w:rFonts w:cstheme="minorHAnsi"/>
                <w:b/>
              </w:rPr>
              <w:t xml:space="preserve">erformance Expectation: </w:t>
            </w:r>
            <w:r w:rsidRPr="002F6FAA">
              <w:rPr>
                <w:rFonts w:cstheme="minorHAnsi"/>
                <w:b/>
              </w:rPr>
              <w:t xml:space="preserve">HS-ESS2-5. </w:t>
            </w:r>
            <w:r w:rsidRPr="002F6FAA">
              <w:rPr>
                <w:rFonts w:cstheme="minorHAnsi"/>
                <w:bCs/>
              </w:rPr>
              <w:t>Plan and conduct an investigation of the properties of water and their effects on Earth materials, surface processes, and groundwater systems.</w:t>
            </w:r>
          </w:p>
        </w:tc>
      </w:tr>
      <w:tr w:rsidR="005A7955" w:rsidRPr="002F6FAA" w14:paraId="2678A67D" w14:textId="77777777" w:rsidTr="002F6FAA">
        <w:trPr>
          <w:trHeight w:val="252"/>
        </w:trPr>
        <w:tc>
          <w:tcPr>
            <w:tcW w:w="1324" w:type="dxa"/>
            <w:vMerge w:val="restart"/>
            <w:shd w:val="clear" w:color="auto" w:fill="auto"/>
          </w:tcPr>
          <w:p w14:paraId="326ECE4E" w14:textId="77777777" w:rsidR="005A7955" w:rsidRPr="002F6FAA" w:rsidRDefault="005A7955" w:rsidP="0012672E">
            <w:pPr>
              <w:jc w:val="center"/>
              <w:rPr>
                <w:rFonts w:cstheme="minorHAnsi"/>
                <w:b/>
              </w:rPr>
            </w:pPr>
          </w:p>
        </w:tc>
        <w:tc>
          <w:tcPr>
            <w:tcW w:w="3986" w:type="dxa"/>
            <w:shd w:val="clear" w:color="auto" w:fill="0070C0"/>
          </w:tcPr>
          <w:p w14:paraId="5FED5B01" w14:textId="77777777" w:rsidR="005A7955" w:rsidRPr="002F6FAA" w:rsidRDefault="005A7955" w:rsidP="0012672E">
            <w:pPr>
              <w:spacing w:after="60"/>
              <w:jc w:val="center"/>
              <w:rPr>
                <w:rFonts w:cstheme="minorHAnsi"/>
                <w:b/>
              </w:rPr>
            </w:pPr>
            <w:r w:rsidRPr="002F6FAA">
              <w:rPr>
                <w:rFonts w:cstheme="minorHAnsi"/>
                <w:b/>
              </w:rPr>
              <w:t>Science and Engineering Practices (SEP)</w:t>
            </w:r>
          </w:p>
        </w:tc>
        <w:tc>
          <w:tcPr>
            <w:tcW w:w="4410" w:type="dxa"/>
            <w:shd w:val="clear" w:color="auto" w:fill="FF9900"/>
          </w:tcPr>
          <w:p w14:paraId="2FC918F2" w14:textId="77777777" w:rsidR="005A7955" w:rsidRPr="002F6FAA" w:rsidRDefault="005A7955" w:rsidP="0012672E">
            <w:pPr>
              <w:spacing w:after="60"/>
              <w:jc w:val="center"/>
              <w:rPr>
                <w:rFonts w:cstheme="minorHAnsi"/>
                <w:b/>
              </w:rPr>
            </w:pPr>
            <w:r w:rsidRPr="002F6FAA">
              <w:rPr>
                <w:rFonts w:cstheme="minorHAnsi"/>
                <w:b/>
              </w:rPr>
              <w:t>Disciplinary Core Ideas (DCI)</w:t>
            </w:r>
          </w:p>
        </w:tc>
        <w:tc>
          <w:tcPr>
            <w:tcW w:w="4050" w:type="dxa"/>
            <w:gridSpan w:val="2"/>
            <w:shd w:val="clear" w:color="auto" w:fill="D6E3BC" w:themeFill="accent3" w:themeFillTint="66"/>
          </w:tcPr>
          <w:p w14:paraId="50CEBEC0" w14:textId="77777777" w:rsidR="005A7955" w:rsidRPr="002F6FAA" w:rsidRDefault="005A7955" w:rsidP="0012672E">
            <w:pPr>
              <w:spacing w:after="60"/>
              <w:jc w:val="center"/>
              <w:rPr>
                <w:rFonts w:cstheme="minorHAnsi"/>
                <w:b/>
              </w:rPr>
            </w:pPr>
            <w:r w:rsidRPr="002F6FAA">
              <w:rPr>
                <w:rFonts w:cstheme="minorHAnsi"/>
                <w:b/>
              </w:rPr>
              <w:t>Crosscutting Concepts (CCC)</w:t>
            </w:r>
          </w:p>
        </w:tc>
      </w:tr>
      <w:tr w:rsidR="005A7955" w:rsidRPr="002F6FAA" w14:paraId="17DE360D" w14:textId="77777777" w:rsidTr="002F6FAA">
        <w:trPr>
          <w:trHeight w:val="1340"/>
        </w:trPr>
        <w:tc>
          <w:tcPr>
            <w:tcW w:w="1324" w:type="dxa"/>
            <w:vMerge/>
            <w:shd w:val="clear" w:color="auto" w:fill="auto"/>
          </w:tcPr>
          <w:p w14:paraId="7D97E1F9" w14:textId="77777777" w:rsidR="005A7955" w:rsidRPr="002F6FAA" w:rsidRDefault="005A7955" w:rsidP="0012672E">
            <w:pPr>
              <w:rPr>
                <w:rFonts w:cstheme="minorHAnsi"/>
              </w:rPr>
            </w:pPr>
          </w:p>
        </w:tc>
        <w:tc>
          <w:tcPr>
            <w:tcW w:w="3986" w:type="dxa"/>
            <w:shd w:val="clear" w:color="auto" w:fill="DBE5F1" w:themeFill="accent1" w:themeFillTint="33"/>
          </w:tcPr>
          <w:p w14:paraId="7BC6644F" w14:textId="5D7AADF7" w:rsidR="008A0BFC" w:rsidRPr="002F6FAA" w:rsidRDefault="005A7955" w:rsidP="00985ACF">
            <w:pPr>
              <w:spacing w:after="0"/>
              <w:rPr>
                <w:rFonts w:cstheme="minorHAnsi"/>
                <w:b/>
              </w:rPr>
            </w:pPr>
            <w:r w:rsidRPr="002F6FAA">
              <w:rPr>
                <w:rFonts w:cstheme="minorHAnsi"/>
                <w:b/>
              </w:rPr>
              <w:t>SEP:</w:t>
            </w:r>
            <w:r w:rsidR="00BE0F6D" w:rsidRPr="002F6FAA">
              <w:rPr>
                <w:rFonts w:cstheme="minorHAnsi"/>
              </w:rPr>
              <w:t xml:space="preserve"> </w:t>
            </w:r>
            <w:r w:rsidR="008A0BFC" w:rsidRPr="002F6FAA">
              <w:rPr>
                <w:rFonts w:cstheme="minorHAnsi"/>
                <w:b/>
                <w:bCs/>
              </w:rPr>
              <w:t>Planning and Carrying Out Investigations</w:t>
            </w:r>
          </w:p>
          <w:p w14:paraId="46C5021F" w14:textId="5C397662" w:rsidR="008A0BFC" w:rsidRPr="00985ACF" w:rsidRDefault="008A0BFC" w:rsidP="00985ACF">
            <w:pPr>
              <w:spacing w:after="0"/>
              <w:rPr>
                <w:rFonts w:cstheme="minorHAnsi"/>
              </w:rPr>
            </w:pPr>
            <w:r w:rsidRPr="002F6FAA">
              <w:rPr>
                <w:rFonts w:cstheme="minorHAnsi"/>
              </w:rPr>
              <w:t xml:space="preserve">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 </w:t>
            </w:r>
          </w:p>
        </w:tc>
        <w:tc>
          <w:tcPr>
            <w:tcW w:w="4410" w:type="dxa"/>
            <w:shd w:val="clear" w:color="auto" w:fill="F2DBDB" w:themeFill="accent2" w:themeFillTint="33"/>
          </w:tcPr>
          <w:p w14:paraId="0E5A16A2" w14:textId="711822AB" w:rsidR="00463729" w:rsidRPr="002F6FAA" w:rsidRDefault="005A7955" w:rsidP="00985ACF">
            <w:pPr>
              <w:spacing w:after="0"/>
              <w:rPr>
                <w:rFonts w:cstheme="minorHAnsi"/>
                <w:b/>
              </w:rPr>
            </w:pPr>
            <w:r w:rsidRPr="002F6FAA">
              <w:rPr>
                <w:rFonts w:cstheme="minorHAnsi"/>
                <w:b/>
              </w:rPr>
              <w:t>DCI:</w:t>
            </w:r>
            <w:r w:rsidR="00463729" w:rsidRPr="002F6FAA">
              <w:rPr>
                <w:rFonts w:cstheme="minorHAnsi"/>
              </w:rPr>
              <w:t xml:space="preserve"> </w:t>
            </w:r>
            <w:r w:rsidR="00463729" w:rsidRPr="002F6FAA">
              <w:rPr>
                <w:rFonts w:cstheme="minorHAnsi"/>
                <w:b/>
              </w:rPr>
              <w:t>ESS2.C: The Roles of Water in Earth's Surface Processes</w:t>
            </w:r>
          </w:p>
          <w:p w14:paraId="0EEF3210" w14:textId="3122FAA7" w:rsidR="005A7955" w:rsidRPr="002F6FAA" w:rsidRDefault="00463729" w:rsidP="00985ACF">
            <w:pPr>
              <w:spacing w:after="0"/>
              <w:rPr>
                <w:rFonts w:cstheme="minorHAnsi"/>
                <w:bCs/>
              </w:rPr>
            </w:pPr>
            <w:r w:rsidRPr="002F6FAA">
              <w:rPr>
                <w:rFonts w:cstheme="minorHAnsi"/>
                <w:bCs/>
              </w:rPr>
              <w:t>The abundance of liquid water on Earth’s surface and its unique combination of physical and chemical properties are central to the planet’s dynamics. These properties include water’s exceptional capacity to absorb, store, and release large amounts of energy, transmit sunlight, expand upon freezing, dissolve and transport materials, and lower the viscosities and melting points of rocks.</w:t>
            </w:r>
          </w:p>
        </w:tc>
        <w:tc>
          <w:tcPr>
            <w:tcW w:w="4050" w:type="dxa"/>
            <w:gridSpan w:val="2"/>
            <w:shd w:val="clear" w:color="auto" w:fill="EAF1DD" w:themeFill="accent3" w:themeFillTint="33"/>
          </w:tcPr>
          <w:p w14:paraId="2F08267F" w14:textId="1F7FA6C1" w:rsidR="00463729" w:rsidRPr="002F6FAA" w:rsidRDefault="005A7955" w:rsidP="00463729">
            <w:pPr>
              <w:spacing w:after="60"/>
              <w:rPr>
                <w:rFonts w:cstheme="minorHAnsi"/>
                <w:b/>
              </w:rPr>
            </w:pPr>
            <w:r w:rsidRPr="002F6FAA">
              <w:rPr>
                <w:rFonts w:cstheme="minorHAnsi"/>
                <w:b/>
              </w:rPr>
              <w:t>CCC</w:t>
            </w:r>
            <w:r w:rsidR="002F6FAA" w:rsidRPr="002F6FAA">
              <w:rPr>
                <w:rFonts w:cstheme="minorHAnsi"/>
                <w:b/>
              </w:rPr>
              <w:t>:</w:t>
            </w:r>
            <w:r w:rsidR="00463729" w:rsidRPr="002F6FAA">
              <w:rPr>
                <w:rFonts w:cstheme="minorHAnsi"/>
              </w:rPr>
              <w:t xml:space="preserve"> </w:t>
            </w:r>
            <w:r w:rsidR="00463729" w:rsidRPr="002F6FAA">
              <w:rPr>
                <w:rFonts w:cstheme="minorHAnsi"/>
                <w:b/>
              </w:rPr>
              <w:t>Structure and Function</w:t>
            </w:r>
          </w:p>
          <w:p w14:paraId="4B5BB291" w14:textId="6C005114" w:rsidR="008A0BFC" w:rsidRPr="002F6FAA" w:rsidRDefault="00463729" w:rsidP="00985ACF">
            <w:pPr>
              <w:spacing w:after="120"/>
              <w:rPr>
                <w:rFonts w:cstheme="minorHAnsi"/>
                <w:bCs/>
              </w:rPr>
            </w:pPr>
            <w:r w:rsidRPr="002F6FAA">
              <w:rPr>
                <w:rFonts w:cstheme="minorHAnsi"/>
                <w:bCs/>
              </w:rPr>
              <w:t>The functions and properties of natural and designed objects and systems can be inferred from their overall structure, the way their components are shaped and used, and the molecular substructures of its various materials.</w:t>
            </w:r>
            <w:r w:rsidR="008A0BFC" w:rsidRPr="002F6FAA">
              <w:rPr>
                <w:rFonts w:cstheme="minorHAnsi"/>
                <w:bCs/>
              </w:rPr>
              <w:t xml:space="preserve"> </w:t>
            </w:r>
          </w:p>
        </w:tc>
      </w:tr>
      <w:tr w:rsidR="005A7955" w:rsidRPr="002F6FAA" w14:paraId="69BD91AE" w14:textId="77777777" w:rsidTr="00985ACF">
        <w:trPr>
          <w:trHeight w:val="1700"/>
        </w:trPr>
        <w:tc>
          <w:tcPr>
            <w:tcW w:w="1324" w:type="dxa"/>
          </w:tcPr>
          <w:p w14:paraId="42CC4E3D" w14:textId="77777777" w:rsidR="005A7955" w:rsidRPr="002F6FAA" w:rsidRDefault="005A7955" w:rsidP="0012672E">
            <w:pPr>
              <w:rPr>
                <w:rFonts w:cstheme="minorHAnsi"/>
                <w:b/>
              </w:rPr>
            </w:pPr>
            <w:r w:rsidRPr="002F6FAA">
              <w:rPr>
                <w:rFonts w:cstheme="minorHAnsi"/>
                <w:b/>
              </w:rPr>
              <w:t>Key Aspects</w:t>
            </w:r>
          </w:p>
        </w:tc>
        <w:tc>
          <w:tcPr>
            <w:tcW w:w="3986" w:type="dxa"/>
            <w:shd w:val="clear" w:color="auto" w:fill="DBE5F1" w:themeFill="accent1" w:themeFillTint="33"/>
          </w:tcPr>
          <w:p w14:paraId="35952760" w14:textId="7876C520" w:rsidR="00AA63D7" w:rsidRPr="002F6FAA" w:rsidRDefault="00AA63D7" w:rsidP="00AA63D7">
            <w:pPr>
              <w:pStyle w:val="ListParagraph"/>
              <w:numPr>
                <w:ilvl w:val="0"/>
                <w:numId w:val="9"/>
              </w:numPr>
              <w:rPr>
                <w:rFonts w:cstheme="minorHAnsi"/>
              </w:rPr>
            </w:pPr>
            <w:r w:rsidRPr="002F6FAA">
              <w:rPr>
                <w:rFonts w:cstheme="minorHAnsi"/>
              </w:rPr>
              <w:t>Identify relevant independent and dependent variables and consider possible confounding variables or effects.</w:t>
            </w:r>
          </w:p>
          <w:p w14:paraId="32E258DF" w14:textId="2909941C" w:rsidR="00715767" w:rsidRPr="00985ACF" w:rsidRDefault="00FE3FEA" w:rsidP="00985ACF">
            <w:pPr>
              <w:pStyle w:val="ListParagraph"/>
              <w:numPr>
                <w:ilvl w:val="0"/>
                <w:numId w:val="9"/>
              </w:numPr>
              <w:spacing w:after="120" w:line="240" w:lineRule="auto"/>
              <w:rPr>
                <w:rFonts w:cstheme="minorHAnsi"/>
              </w:rPr>
            </w:pPr>
            <w:r w:rsidRPr="002F6FAA">
              <w:rPr>
                <w:rFonts w:cstheme="minorHAnsi"/>
              </w:rPr>
              <w:t>Compare and evaluate alternative methods to determine which design provides the evidence necessary to address the purpose of the investigation.</w:t>
            </w:r>
          </w:p>
        </w:tc>
        <w:tc>
          <w:tcPr>
            <w:tcW w:w="4410" w:type="dxa"/>
            <w:shd w:val="clear" w:color="auto" w:fill="F2DBDB" w:themeFill="accent2" w:themeFillTint="33"/>
          </w:tcPr>
          <w:p w14:paraId="30782D44" w14:textId="4E70F087" w:rsidR="005A7955" w:rsidRPr="002F6FAA" w:rsidRDefault="00E94FC0" w:rsidP="005A7955">
            <w:pPr>
              <w:pStyle w:val="ListParagraph"/>
              <w:numPr>
                <w:ilvl w:val="0"/>
                <w:numId w:val="6"/>
              </w:numPr>
              <w:spacing w:after="60" w:line="240" w:lineRule="auto"/>
              <w:rPr>
                <w:rFonts w:cstheme="minorHAnsi"/>
                <w:bCs/>
              </w:rPr>
            </w:pPr>
            <w:r w:rsidRPr="002F6FAA">
              <w:rPr>
                <w:rFonts w:cstheme="minorHAnsi"/>
                <w:bCs/>
              </w:rPr>
              <w:t>The abundance of liquid water on Earth’s surface is central to the planet’s dynamics.</w:t>
            </w:r>
          </w:p>
          <w:p w14:paraId="6F55F752" w14:textId="4BD4973C" w:rsidR="00936681" w:rsidRPr="002F6FAA" w:rsidRDefault="00936681" w:rsidP="00936681">
            <w:pPr>
              <w:pStyle w:val="ListParagraph"/>
              <w:numPr>
                <w:ilvl w:val="0"/>
                <w:numId w:val="6"/>
              </w:numPr>
              <w:spacing w:after="60" w:line="240" w:lineRule="auto"/>
              <w:rPr>
                <w:rFonts w:cstheme="minorHAnsi"/>
                <w:bCs/>
              </w:rPr>
            </w:pPr>
            <w:r w:rsidRPr="002F6FAA">
              <w:rPr>
                <w:rFonts w:cstheme="minorHAnsi"/>
                <w:bCs/>
              </w:rPr>
              <w:t>The properties of water (e.g., heat capacity, density of different states, polar nature due to molecular structure) that are central to Earth’s surface processes.</w:t>
            </w:r>
          </w:p>
          <w:p w14:paraId="4FFDF1E2" w14:textId="3AB1764A" w:rsidR="00936681" w:rsidRPr="002F6FAA" w:rsidRDefault="00936681" w:rsidP="00936681">
            <w:pPr>
              <w:pStyle w:val="ListParagraph"/>
              <w:numPr>
                <w:ilvl w:val="0"/>
                <w:numId w:val="6"/>
              </w:numPr>
              <w:spacing w:after="60" w:line="240" w:lineRule="auto"/>
              <w:rPr>
                <w:rFonts w:cstheme="minorHAnsi"/>
                <w:bCs/>
              </w:rPr>
            </w:pPr>
            <w:r w:rsidRPr="002F6FAA">
              <w:rPr>
                <w:rFonts w:cstheme="minorHAnsi"/>
                <w:bCs/>
              </w:rPr>
              <w:t xml:space="preserve">The role of </w:t>
            </w:r>
            <w:r w:rsidR="00B920EF" w:rsidRPr="002F6FAA">
              <w:rPr>
                <w:rFonts w:cstheme="minorHAnsi"/>
                <w:bCs/>
              </w:rPr>
              <w:t xml:space="preserve">the </w:t>
            </w:r>
            <w:r w:rsidRPr="002F6FAA">
              <w:rPr>
                <w:rFonts w:cstheme="minorHAnsi"/>
                <w:bCs/>
              </w:rPr>
              <w:t xml:space="preserve">heat capacity of water to affect the temperature, movement of air, and movement of water on Earth’s surface </w:t>
            </w:r>
            <w:r w:rsidRPr="002F6FAA">
              <w:rPr>
                <w:rFonts w:cstheme="minorHAnsi"/>
                <w:bCs/>
              </w:rPr>
              <w:lastRenderedPageBreak/>
              <w:t>and the transfer of thermal energy in Earth’s systems.</w:t>
            </w:r>
          </w:p>
          <w:p w14:paraId="5C3556EC" w14:textId="77777777" w:rsidR="00936681" w:rsidRPr="002F6FAA" w:rsidRDefault="00936681" w:rsidP="00936681">
            <w:pPr>
              <w:pStyle w:val="ListParagraph"/>
              <w:numPr>
                <w:ilvl w:val="0"/>
                <w:numId w:val="6"/>
              </w:numPr>
              <w:spacing w:after="60" w:line="240" w:lineRule="auto"/>
              <w:rPr>
                <w:rFonts w:cstheme="minorHAnsi"/>
                <w:bCs/>
              </w:rPr>
            </w:pPr>
            <w:r w:rsidRPr="002F6FAA">
              <w:rPr>
                <w:rFonts w:cstheme="minorHAnsi"/>
                <w:bCs/>
              </w:rPr>
              <w:t>The role of flowing water (liquid or solid) in the transportation and deposition of sediments.</w:t>
            </w:r>
          </w:p>
          <w:p w14:paraId="0D6D63C5" w14:textId="20D6853A" w:rsidR="005A7955" w:rsidRPr="002F6FAA" w:rsidRDefault="001C491B" w:rsidP="001C491B">
            <w:pPr>
              <w:pStyle w:val="ListParagraph"/>
              <w:numPr>
                <w:ilvl w:val="0"/>
                <w:numId w:val="6"/>
              </w:numPr>
              <w:rPr>
                <w:rFonts w:cstheme="minorHAnsi"/>
                <w:bCs/>
              </w:rPr>
            </w:pPr>
            <w:r w:rsidRPr="002F6FAA">
              <w:rPr>
                <w:rFonts w:cstheme="minorHAnsi"/>
                <w:bCs/>
              </w:rPr>
              <w:t>The role of the polar nature of water in the dissolving and precipitation/crystallization of Earth materials.</w:t>
            </w:r>
          </w:p>
        </w:tc>
        <w:tc>
          <w:tcPr>
            <w:tcW w:w="4050" w:type="dxa"/>
            <w:gridSpan w:val="2"/>
            <w:shd w:val="clear" w:color="auto" w:fill="EAF1DD" w:themeFill="accent3" w:themeFillTint="33"/>
          </w:tcPr>
          <w:p w14:paraId="70F9AE7C" w14:textId="42BFE37F" w:rsidR="00775AB2" w:rsidRPr="002F6FAA" w:rsidRDefault="00775AB2" w:rsidP="00775AB2">
            <w:pPr>
              <w:pStyle w:val="ListParagraph"/>
              <w:numPr>
                <w:ilvl w:val="0"/>
                <w:numId w:val="6"/>
              </w:numPr>
              <w:spacing w:after="60" w:line="240" w:lineRule="auto"/>
              <w:rPr>
                <w:rFonts w:cstheme="minorHAnsi"/>
              </w:rPr>
            </w:pPr>
            <w:r w:rsidRPr="002F6FAA">
              <w:rPr>
                <w:rFonts w:cstheme="minorHAnsi"/>
              </w:rPr>
              <w:lastRenderedPageBreak/>
              <w:t>The functions of natural objects can be inferred from their overall structure, the way their components are shaped and used, and the molecular substructures of its various materials.</w:t>
            </w:r>
          </w:p>
          <w:p w14:paraId="35A7C242" w14:textId="77777777" w:rsidR="00775AB2" w:rsidRPr="002F6FAA" w:rsidRDefault="00775AB2" w:rsidP="00775AB2">
            <w:pPr>
              <w:pStyle w:val="ListParagraph"/>
              <w:numPr>
                <w:ilvl w:val="0"/>
                <w:numId w:val="6"/>
              </w:numPr>
              <w:spacing w:after="60" w:line="240" w:lineRule="auto"/>
              <w:rPr>
                <w:rFonts w:cstheme="minorHAnsi"/>
              </w:rPr>
            </w:pPr>
            <w:r w:rsidRPr="002F6FAA">
              <w:rPr>
                <w:rFonts w:cstheme="minorHAnsi"/>
              </w:rPr>
              <w:t>The functions of systems can be inferred from their overall structure.</w:t>
            </w:r>
          </w:p>
          <w:p w14:paraId="38993CC8" w14:textId="430C12D7" w:rsidR="005A7955" w:rsidRPr="00985ACF" w:rsidRDefault="00775AB2" w:rsidP="00985ACF">
            <w:pPr>
              <w:pStyle w:val="ListParagraph"/>
              <w:numPr>
                <w:ilvl w:val="0"/>
                <w:numId w:val="6"/>
              </w:numPr>
              <w:spacing w:after="120" w:line="240" w:lineRule="auto"/>
              <w:rPr>
                <w:rFonts w:cstheme="minorHAnsi"/>
              </w:rPr>
            </w:pPr>
            <w:r w:rsidRPr="002F6FAA">
              <w:rPr>
                <w:rFonts w:cstheme="minorHAnsi"/>
              </w:rPr>
              <w:t>The properties of systems can be inferred from their overall structure.</w:t>
            </w:r>
          </w:p>
        </w:tc>
      </w:tr>
      <w:tr w:rsidR="005A7955" w:rsidRPr="002F6FAA" w14:paraId="6F019710" w14:textId="77777777" w:rsidTr="00985ACF">
        <w:trPr>
          <w:trHeight w:val="4274"/>
        </w:trPr>
        <w:tc>
          <w:tcPr>
            <w:tcW w:w="1324" w:type="dxa"/>
          </w:tcPr>
          <w:p w14:paraId="288AB5ED" w14:textId="77777777" w:rsidR="005A7955" w:rsidRPr="002F6FAA" w:rsidRDefault="005A7955" w:rsidP="0012672E">
            <w:pPr>
              <w:rPr>
                <w:rFonts w:cstheme="minorHAnsi"/>
                <w:b/>
              </w:rPr>
            </w:pPr>
            <w:r w:rsidRPr="002F6FAA">
              <w:rPr>
                <w:rFonts w:cstheme="minorHAnsi"/>
                <w:b/>
              </w:rPr>
              <w:t>Prior Knowledge</w:t>
            </w:r>
          </w:p>
        </w:tc>
        <w:tc>
          <w:tcPr>
            <w:tcW w:w="3986" w:type="dxa"/>
            <w:shd w:val="clear" w:color="auto" w:fill="DBE5F1" w:themeFill="accent1" w:themeFillTint="33"/>
          </w:tcPr>
          <w:p w14:paraId="330CECE6" w14:textId="77777777" w:rsidR="009E56AA" w:rsidRPr="002F6FAA" w:rsidRDefault="009E56AA" w:rsidP="009E56AA">
            <w:pPr>
              <w:pStyle w:val="ListParagraph"/>
              <w:numPr>
                <w:ilvl w:val="0"/>
                <w:numId w:val="9"/>
              </w:numPr>
              <w:spacing w:after="60" w:line="240" w:lineRule="auto"/>
              <w:rPr>
                <w:rFonts w:cstheme="minorHAnsi"/>
              </w:rPr>
            </w:pPr>
            <w:r w:rsidRPr="002F6FAA">
              <w:rPr>
                <w:rFonts w:cstheme="minorHAnsi"/>
              </w:rPr>
              <w:t>Describe the purpose of the investigation.</w:t>
            </w:r>
          </w:p>
          <w:p w14:paraId="6C720648" w14:textId="628697DB" w:rsidR="000133F4" w:rsidRPr="00985ACF" w:rsidRDefault="009E56AA" w:rsidP="00985ACF">
            <w:pPr>
              <w:pStyle w:val="ListParagraph"/>
              <w:numPr>
                <w:ilvl w:val="0"/>
                <w:numId w:val="9"/>
              </w:numPr>
              <w:spacing w:after="60" w:line="240" w:lineRule="auto"/>
              <w:rPr>
                <w:rFonts w:cstheme="minorHAnsi"/>
              </w:rPr>
            </w:pPr>
            <w:r w:rsidRPr="002F6FAA">
              <w:rPr>
                <w:rFonts w:cstheme="minorHAnsi"/>
              </w:rPr>
              <w:t>Collect data across a range of conditions.</w:t>
            </w:r>
          </w:p>
        </w:tc>
        <w:tc>
          <w:tcPr>
            <w:tcW w:w="4410" w:type="dxa"/>
            <w:shd w:val="clear" w:color="auto" w:fill="F2DBDB" w:themeFill="accent2" w:themeFillTint="33"/>
          </w:tcPr>
          <w:p w14:paraId="27ACE08A" w14:textId="77777777" w:rsidR="00936681" w:rsidRPr="002F6FAA" w:rsidRDefault="00D45C77" w:rsidP="00E94FC0">
            <w:pPr>
              <w:pStyle w:val="ListParagraph"/>
              <w:numPr>
                <w:ilvl w:val="0"/>
                <w:numId w:val="4"/>
              </w:numPr>
              <w:spacing w:after="60" w:line="240" w:lineRule="auto"/>
              <w:rPr>
                <w:rFonts w:cstheme="minorHAnsi"/>
                <w:bCs/>
              </w:rPr>
            </w:pPr>
            <w:r w:rsidRPr="002F6FAA">
              <w:rPr>
                <w:rFonts w:cstheme="minorHAnsi"/>
                <w:bCs/>
              </w:rPr>
              <w:t>The role of water as a component in chemical reactions that change Earth materials, such as the rusting of iron.</w:t>
            </w:r>
          </w:p>
          <w:p w14:paraId="184B67CA" w14:textId="77777777" w:rsidR="00D45C77" w:rsidRPr="002F6FAA" w:rsidRDefault="00C66F15" w:rsidP="00313EB2">
            <w:pPr>
              <w:pStyle w:val="ListParagraph"/>
              <w:numPr>
                <w:ilvl w:val="0"/>
                <w:numId w:val="4"/>
              </w:numPr>
              <w:rPr>
                <w:rFonts w:cstheme="minorHAnsi"/>
                <w:bCs/>
              </w:rPr>
            </w:pPr>
            <w:r w:rsidRPr="002F6FAA">
              <w:rPr>
                <w:rFonts w:cstheme="minorHAnsi"/>
                <w:bCs/>
              </w:rPr>
              <w:t>The chemical effects of water on Earth materials.</w:t>
            </w:r>
          </w:p>
          <w:p w14:paraId="4C80D300" w14:textId="6F231EFC" w:rsidR="008D6AD5" w:rsidRPr="002F6FAA" w:rsidRDefault="008D6AD5" w:rsidP="00313EB2">
            <w:pPr>
              <w:pStyle w:val="ListParagraph"/>
              <w:numPr>
                <w:ilvl w:val="0"/>
                <w:numId w:val="4"/>
              </w:numPr>
              <w:rPr>
                <w:rFonts w:cstheme="minorHAnsi"/>
                <w:bCs/>
              </w:rPr>
            </w:pPr>
            <w:r w:rsidRPr="002F6FAA">
              <w:rPr>
                <w:rFonts w:cstheme="minorHAnsi"/>
                <w:bCs/>
              </w:rPr>
              <w:t>The interacting causes of weather patterns.</w:t>
            </w:r>
          </w:p>
          <w:p w14:paraId="6F48DE2C" w14:textId="77777777" w:rsidR="004F5F2F" w:rsidRPr="002F6FAA" w:rsidRDefault="004F5F2F" w:rsidP="004F5F2F">
            <w:pPr>
              <w:pStyle w:val="ListParagraph"/>
              <w:numPr>
                <w:ilvl w:val="0"/>
                <w:numId w:val="4"/>
              </w:numPr>
              <w:rPr>
                <w:rFonts w:cstheme="minorHAnsi"/>
                <w:bCs/>
              </w:rPr>
            </w:pPr>
            <w:r w:rsidRPr="002F6FAA">
              <w:rPr>
                <w:rFonts w:cstheme="minorHAnsi"/>
                <w:bCs/>
              </w:rPr>
              <w:t>The components of the water cycle including water, energy, gravity, the atmosphere, landforms, and organisms.</w:t>
            </w:r>
          </w:p>
          <w:p w14:paraId="59802469" w14:textId="77777777" w:rsidR="004F5F2F" w:rsidRPr="002F6FAA" w:rsidRDefault="004F5F2F" w:rsidP="004F5F2F">
            <w:pPr>
              <w:pStyle w:val="ListParagraph"/>
              <w:numPr>
                <w:ilvl w:val="0"/>
                <w:numId w:val="4"/>
              </w:numPr>
              <w:rPr>
                <w:rFonts w:cstheme="minorHAnsi"/>
                <w:bCs/>
              </w:rPr>
            </w:pPr>
            <w:r w:rsidRPr="002F6FAA">
              <w:rPr>
                <w:rFonts w:cstheme="minorHAnsi"/>
                <w:bCs/>
              </w:rPr>
              <w:t>The processes of the water cycle such as transpiration, evaporation, condensation, crystallization, precipitation, and runoff.</w:t>
            </w:r>
          </w:p>
          <w:p w14:paraId="2401B5AD" w14:textId="53886D6C" w:rsidR="004F5F2F" w:rsidRPr="002F6FAA" w:rsidRDefault="004F5F2F" w:rsidP="004F5F2F">
            <w:pPr>
              <w:pStyle w:val="ListParagraph"/>
              <w:numPr>
                <w:ilvl w:val="0"/>
                <w:numId w:val="4"/>
              </w:numPr>
              <w:rPr>
                <w:rFonts w:cstheme="minorHAnsi"/>
                <w:bCs/>
              </w:rPr>
            </w:pPr>
            <w:r w:rsidRPr="002F6FAA">
              <w:rPr>
                <w:rFonts w:cstheme="minorHAnsi"/>
                <w:bCs/>
              </w:rPr>
              <w:t xml:space="preserve">The relationships between the components of the water cycle (e.g., the transfer of energy from the </w:t>
            </w:r>
            <w:r w:rsidR="00E002AA" w:rsidRPr="002F6FAA">
              <w:rPr>
                <w:rFonts w:cstheme="minorHAnsi"/>
                <w:bCs/>
              </w:rPr>
              <w:t>s</w:t>
            </w:r>
            <w:r w:rsidRPr="002F6FAA">
              <w:rPr>
                <w:rFonts w:cstheme="minorHAnsi"/>
                <w:bCs/>
              </w:rPr>
              <w:t>un drives the evaporation of water).</w:t>
            </w:r>
          </w:p>
          <w:p w14:paraId="6D67F968" w14:textId="191814E9" w:rsidR="00D66ABE" w:rsidRPr="002F6FAA" w:rsidRDefault="004F5F2F" w:rsidP="004F5F2F">
            <w:pPr>
              <w:pStyle w:val="ListParagraph"/>
              <w:numPr>
                <w:ilvl w:val="0"/>
                <w:numId w:val="4"/>
              </w:numPr>
              <w:rPr>
                <w:rFonts w:cstheme="minorHAnsi"/>
                <w:bCs/>
              </w:rPr>
            </w:pPr>
            <w:r w:rsidRPr="002F6FAA">
              <w:rPr>
                <w:rFonts w:cstheme="minorHAnsi"/>
                <w:bCs/>
              </w:rPr>
              <w:t>The transfer of energy between water and the environment during phase changes drives the cycling of water.</w:t>
            </w:r>
          </w:p>
        </w:tc>
        <w:tc>
          <w:tcPr>
            <w:tcW w:w="1620" w:type="dxa"/>
            <w:shd w:val="clear" w:color="auto" w:fill="F2F2F2" w:themeFill="background1" w:themeFillShade="F2"/>
          </w:tcPr>
          <w:p w14:paraId="48D7F15C" w14:textId="77777777" w:rsidR="005A7955" w:rsidRPr="002F6FAA" w:rsidRDefault="005A7955" w:rsidP="0012672E">
            <w:pPr>
              <w:spacing w:after="60"/>
              <w:rPr>
                <w:rFonts w:cstheme="minorHAnsi"/>
                <w:b/>
              </w:rPr>
            </w:pPr>
            <w:r w:rsidRPr="002F6FAA">
              <w:rPr>
                <w:rFonts w:cstheme="minorHAnsi"/>
                <w:b/>
              </w:rPr>
              <w:t>Relationships to SEPs</w:t>
            </w:r>
          </w:p>
        </w:tc>
        <w:tc>
          <w:tcPr>
            <w:tcW w:w="2430" w:type="dxa"/>
            <w:shd w:val="clear" w:color="auto" w:fill="EAF1DD" w:themeFill="accent3" w:themeFillTint="33"/>
          </w:tcPr>
          <w:p w14:paraId="79CE3268" w14:textId="77777777" w:rsidR="008E205E" w:rsidRPr="002F6FAA" w:rsidRDefault="008E205E" w:rsidP="008E205E">
            <w:pPr>
              <w:pStyle w:val="ListParagraph"/>
              <w:numPr>
                <w:ilvl w:val="0"/>
                <w:numId w:val="3"/>
              </w:numPr>
              <w:spacing w:after="60" w:line="240" w:lineRule="auto"/>
              <w:rPr>
                <w:rFonts w:cstheme="minorHAnsi"/>
              </w:rPr>
            </w:pPr>
            <w:r w:rsidRPr="002F6FAA">
              <w:rPr>
                <w:rFonts w:cstheme="minorHAnsi"/>
              </w:rPr>
              <w:t>To communicate findings clearly and persuasively may include an analysis of complex structures and systems to describe how they function.</w:t>
            </w:r>
          </w:p>
          <w:p w14:paraId="5386A1FF" w14:textId="00477651" w:rsidR="0083237F" w:rsidRPr="002F6FAA" w:rsidRDefault="008E205E" w:rsidP="008E205E">
            <w:pPr>
              <w:pStyle w:val="ListParagraph"/>
              <w:numPr>
                <w:ilvl w:val="0"/>
                <w:numId w:val="3"/>
              </w:numPr>
              <w:spacing w:after="60" w:line="240" w:lineRule="auto"/>
              <w:rPr>
                <w:rFonts w:cstheme="minorHAnsi"/>
              </w:rPr>
            </w:pPr>
            <w:r w:rsidRPr="002F6FAA">
              <w:rPr>
                <w:rFonts w:cstheme="minorHAnsi"/>
              </w:rPr>
              <w:t xml:space="preserve">Systems are described in terms of matter and energy. </w:t>
            </w:r>
          </w:p>
        </w:tc>
      </w:tr>
    </w:tbl>
    <w:p w14:paraId="585553BE" w14:textId="28BB2248" w:rsidR="00873D50" w:rsidRDefault="00873D50" w:rsidP="00873D50"/>
    <w:p w14:paraId="70996FA4" w14:textId="5A64B1AF" w:rsidR="004C66C7" w:rsidRPr="00356558" w:rsidRDefault="004C66C7" w:rsidP="004C66C7">
      <w:pPr>
        <w:rPr>
          <w:rFonts w:eastAsia="Calibri"/>
          <w:sz w:val="18"/>
          <w:szCs w:val="18"/>
        </w:rPr>
      </w:pPr>
      <w:r>
        <w:lastRenderedPageBreak/>
        <w:t>This partially completed unpacking tool was</w:t>
      </w:r>
      <w:r w:rsidRPr="25D0DD65">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i/>
          <w:iCs/>
        </w:rPr>
        <w:t>SCILLSS Classroom Science Assessment Workshop</w:t>
      </w:r>
      <w:r>
        <w:rPr>
          <w:i/>
          <w:iCs/>
        </w:rPr>
        <w:t xml:space="preserve">: </w:t>
      </w:r>
      <w:r>
        <w:rPr>
          <w:i/>
          <w:iCs/>
        </w:rPr>
        <w:t>High School Earth and Space Science</w:t>
      </w:r>
      <w:bookmarkStart w:id="0" w:name="_GoBack"/>
      <w:bookmarkEnd w:id="0"/>
      <w:r>
        <w:rPr>
          <w:i/>
          <w:iCs/>
        </w:rPr>
        <w:t xml:space="preserve"> Partially Completed Unpacking Tool</w:t>
      </w:r>
      <w:r w:rsidRPr="25D0DD65">
        <w:t>. Lincoln, NE: Nebraska Department of Education.</w:t>
      </w:r>
    </w:p>
    <w:p w14:paraId="2E1ED9E2" w14:textId="77777777" w:rsidR="004C66C7" w:rsidRPr="00873D50" w:rsidRDefault="004C66C7" w:rsidP="00873D50">
      <w:pPr>
        <w:rPr>
          <w:rFonts w:eastAsia="Calibri"/>
          <w:sz w:val="18"/>
          <w:szCs w:val="18"/>
        </w:rPr>
      </w:pPr>
    </w:p>
    <w:sectPr w:rsidR="004C66C7" w:rsidRPr="00873D50" w:rsidSect="002F6FAA">
      <w:footerReference w:type="default" r:id="rId12"/>
      <w:pgSz w:w="15840" w:h="12240" w:orient="landscape" w:code="1"/>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CD5C2" w14:textId="77777777" w:rsidR="005B0CA5" w:rsidRDefault="005B0CA5" w:rsidP="008F6E2B">
      <w:pPr>
        <w:spacing w:after="0" w:line="240" w:lineRule="auto"/>
      </w:pPr>
      <w:r>
        <w:separator/>
      </w:r>
    </w:p>
  </w:endnote>
  <w:endnote w:type="continuationSeparator" w:id="0">
    <w:p w14:paraId="0A4270CD" w14:textId="77777777" w:rsidR="005B0CA5" w:rsidRDefault="005B0CA5" w:rsidP="008F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9BDA" w14:textId="15B8E929" w:rsidR="008F6E2B" w:rsidRPr="00A665E7" w:rsidRDefault="00575D89" w:rsidP="002F6FAA">
    <w:pPr>
      <w:pStyle w:val="Footer"/>
    </w:pPr>
    <w:r w:rsidRPr="0014180F">
      <w:t xml:space="preserve">SCILLSS Classroom </w:t>
    </w:r>
    <w:r w:rsidR="002F6FAA" w:rsidRPr="0014180F">
      <w:t xml:space="preserve">Science </w:t>
    </w:r>
    <w:r w:rsidRPr="0014180F">
      <w:t xml:space="preserve">Assessment Workshop: </w:t>
    </w:r>
    <w:r w:rsidR="009D40AD" w:rsidRPr="0014180F">
      <w:t>High School Earth and Space Science Partially Completed</w:t>
    </w:r>
    <w:r w:rsidRPr="0014180F">
      <w:t xml:space="preserve"> Unpacking Tool</w:t>
    </w:r>
    <w:r w:rsidR="002F6FAA" w:rsidRPr="0014180F">
      <w:tab/>
    </w:r>
    <w:sdt>
      <w:sdtPr>
        <w:rPr>
          <w:sz w:val="20"/>
          <w:szCs w:val="20"/>
        </w:rPr>
        <w:id w:val="769363096"/>
        <w:docPartObj>
          <w:docPartGallery w:val="Page Numbers (Bottom of Page)"/>
          <w:docPartUnique/>
        </w:docPartObj>
      </w:sdtPr>
      <w:sdtEndPr>
        <w:rPr>
          <w:noProof/>
          <w:sz w:val="22"/>
          <w:szCs w:val="22"/>
        </w:rPr>
      </w:sdtEndPr>
      <w:sdtContent>
        <w:r w:rsidR="009D40AD">
          <w:rPr>
            <w:sz w:val="20"/>
            <w:szCs w:val="20"/>
          </w:rPr>
          <w:tab/>
        </w:r>
        <w:r w:rsidR="009D40AD">
          <w:rPr>
            <w:sz w:val="20"/>
            <w:szCs w:val="20"/>
          </w:rPr>
          <w:tab/>
        </w:r>
        <w:r w:rsidRPr="00A665E7">
          <w:fldChar w:fldCharType="begin"/>
        </w:r>
        <w:r w:rsidRPr="00A665E7">
          <w:instrText xml:space="preserve"> PAGE   \* MERGEFORMAT </w:instrText>
        </w:r>
        <w:r w:rsidRPr="00A665E7">
          <w:fldChar w:fldCharType="separate"/>
        </w:r>
        <w:r w:rsidRPr="00A665E7">
          <w:rPr>
            <w:noProof/>
          </w:rPr>
          <w:t>2</w:t>
        </w:r>
        <w:r w:rsidRPr="00A665E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85DE0" w14:textId="77777777" w:rsidR="005B0CA5" w:rsidRDefault="005B0CA5" w:rsidP="008F6E2B">
      <w:pPr>
        <w:spacing w:after="0" w:line="240" w:lineRule="auto"/>
      </w:pPr>
      <w:r>
        <w:separator/>
      </w:r>
    </w:p>
  </w:footnote>
  <w:footnote w:type="continuationSeparator" w:id="0">
    <w:p w14:paraId="49995E54" w14:textId="77777777" w:rsidR="005B0CA5" w:rsidRDefault="005B0CA5" w:rsidP="008F6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CE7"/>
    <w:multiLevelType w:val="hybridMultilevel"/>
    <w:tmpl w:val="FAC62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16E28"/>
    <w:multiLevelType w:val="hybridMultilevel"/>
    <w:tmpl w:val="A3B4CB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3394677D"/>
    <w:multiLevelType w:val="hybridMultilevel"/>
    <w:tmpl w:val="1624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746856"/>
    <w:multiLevelType w:val="hybridMultilevel"/>
    <w:tmpl w:val="FB4AF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7F37F5"/>
    <w:multiLevelType w:val="hybridMultilevel"/>
    <w:tmpl w:val="6258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tDQ0NDcwMTI3NDNW0lEKTi0uzszPAykwrgUAbOHMGywAAAA="/>
  </w:docVars>
  <w:rsids>
    <w:rsidRoot w:val="005C1F8A"/>
    <w:rsid w:val="00000BDB"/>
    <w:rsid w:val="00003CD9"/>
    <w:rsid w:val="000133F4"/>
    <w:rsid w:val="00032F11"/>
    <w:rsid w:val="00033FC6"/>
    <w:rsid w:val="00057A5F"/>
    <w:rsid w:val="00060C47"/>
    <w:rsid w:val="00082E64"/>
    <w:rsid w:val="000B3C66"/>
    <w:rsid w:val="000B6BD5"/>
    <w:rsid w:val="000C044F"/>
    <w:rsid w:val="0014180F"/>
    <w:rsid w:val="001503D8"/>
    <w:rsid w:val="001658F3"/>
    <w:rsid w:val="001C46AF"/>
    <w:rsid w:val="001C491B"/>
    <w:rsid w:val="002014FB"/>
    <w:rsid w:val="00291D84"/>
    <w:rsid w:val="00294F2D"/>
    <w:rsid w:val="002C0FF6"/>
    <w:rsid w:val="002F6FAA"/>
    <w:rsid w:val="00313EB2"/>
    <w:rsid w:val="00320712"/>
    <w:rsid w:val="003A7FA6"/>
    <w:rsid w:val="003B713A"/>
    <w:rsid w:val="003E23BB"/>
    <w:rsid w:val="003F3BB2"/>
    <w:rsid w:val="003F440D"/>
    <w:rsid w:val="00434041"/>
    <w:rsid w:val="00463729"/>
    <w:rsid w:val="0047032E"/>
    <w:rsid w:val="00493946"/>
    <w:rsid w:val="004B3C7A"/>
    <w:rsid w:val="004C66C7"/>
    <w:rsid w:val="004E5A88"/>
    <w:rsid w:val="004F5F2F"/>
    <w:rsid w:val="00516D7A"/>
    <w:rsid w:val="00524F3A"/>
    <w:rsid w:val="00533972"/>
    <w:rsid w:val="00534A65"/>
    <w:rsid w:val="00557293"/>
    <w:rsid w:val="00570AFE"/>
    <w:rsid w:val="00575D89"/>
    <w:rsid w:val="005A7955"/>
    <w:rsid w:val="005B0CA5"/>
    <w:rsid w:val="005C1F8A"/>
    <w:rsid w:val="005F61B6"/>
    <w:rsid w:val="005F6542"/>
    <w:rsid w:val="00607393"/>
    <w:rsid w:val="00622800"/>
    <w:rsid w:val="006355AA"/>
    <w:rsid w:val="006355B8"/>
    <w:rsid w:val="0063704D"/>
    <w:rsid w:val="0067140F"/>
    <w:rsid w:val="00690901"/>
    <w:rsid w:val="006B1050"/>
    <w:rsid w:val="006B108E"/>
    <w:rsid w:val="006B5508"/>
    <w:rsid w:val="006D47D9"/>
    <w:rsid w:val="006F035D"/>
    <w:rsid w:val="00715767"/>
    <w:rsid w:val="00775AB2"/>
    <w:rsid w:val="00786C79"/>
    <w:rsid w:val="00791A2A"/>
    <w:rsid w:val="007C6609"/>
    <w:rsid w:val="00801355"/>
    <w:rsid w:val="00831407"/>
    <w:rsid w:val="0083237F"/>
    <w:rsid w:val="00856BF9"/>
    <w:rsid w:val="00873D50"/>
    <w:rsid w:val="008A0BFC"/>
    <w:rsid w:val="008A3769"/>
    <w:rsid w:val="008D6AD5"/>
    <w:rsid w:val="008E205E"/>
    <w:rsid w:val="008F08ED"/>
    <w:rsid w:val="008F6E2B"/>
    <w:rsid w:val="009052FC"/>
    <w:rsid w:val="00936681"/>
    <w:rsid w:val="009518AF"/>
    <w:rsid w:val="00985ACF"/>
    <w:rsid w:val="009A3623"/>
    <w:rsid w:val="009A5A7A"/>
    <w:rsid w:val="009C0266"/>
    <w:rsid w:val="009D40AD"/>
    <w:rsid w:val="009E56AA"/>
    <w:rsid w:val="00A037C9"/>
    <w:rsid w:val="00A23F59"/>
    <w:rsid w:val="00A31A96"/>
    <w:rsid w:val="00A3563A"/>
    <w:rsid w:val="00A665E7"/>
    <w:rsid w:val="00A872AD"/>
    <w:rsid w:val="00AA63D7"/>
    <w:rsid w:val="00B1700B"/>
    <w:rsid w:val="00B34057"/>
    <w:rsid w:val="00B920EF"/>
    <w:rsid w:val="00B929DD"/>
    <w:rsid w:val="00B93C9D"/>
    <w:rsid w:val="00B949CB"/>
    <w:rsid w:val="00B95E7B"/>
    <w:rsid w:val="00BB1533"/>
    <w:rsid w:val="00BC4687"/>
    <w:rsid w:val="00BE0F6D"/>
    <w:rsid w:val="00BE56DB"/>
    <w:rsid w:val="00C11842"/>
    <w:rsid w:val="00C14B92"/>
    <w:rsid w:val="00C3408A"/>
    <w:rsid w:val="00C62615"/>
    <w:rsid w:val="00C651CD"/>
    <w:rsid w:val="00C66F15"/>
    <w:rsid w:val="00CE6681"/>
    <w:rsid w:val="00D318C7"/>
    <w:rsid w:val="00D45C77"/>
    <w:rsid w:val="00D50E3C"/>
    <w:rsid w:val="00D66ABE"/>
    <w:rsid w:val="00D72BED"/>
    <w:rsid w:val="00D75077"/>
    <w:rsid w:val="00DA2403"/>
    <w:rsid w:val="00DE5E66"/>
    <w:rsid w:val="00E002AA"/>
    <w:rsid w:val="00E00988"/>
    <w:rsid w:val="00E1388E"/>
    <w:rsid w:val="00E5320D"/>
    <w:rsid w:val="00E63A3C"/>
    <w:rsid w:val="00E94FC0"/>
    <w:rsid w:val="00F27DBB"/>
    <w:rsid w:val="00F41FCE"/>
    <w:rsid w:val="00F722B3"/>
    <w:rsid w:val="00F77E3F"/>
    <w:rsid w:val="00F9704F"/>
    <w:rsid w:val="00FC09C5"/>
    <w:rsid w:val="00FE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1C3F"/>
  <w15:chartTrackingRefBased/>
  <w15:docId w15:val="{9791804E-28EF-43E4-A515-104AAF70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F8A"/>
    <w:pPr>
      <w:spacing w:after="160" w:line="259" w:lineRule="auto"/>
    </w:pPr>
    <w:rPr>
      <w:rFonts w:asciiTheme="minorHAnsi" w:eastAsiaTheme="minorHAnsi" w:hAnsiTheme="minorHAnsi" w:cstheme="minorBidi"/>
    </w:rPr>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qFormat/>
    <w:rsid w:val="002C0FF6"/>
    <w:pPr>
      <w:ind w:left="720"/>
      <w:contextualSpacing/>
    </w:pPr>
  </w:style>
  <w:style w:type="table" w:customStyle="1" w:styleId="TableGrid2">
    <w:name w:val="Table Grid2"/>
    <w:basedOn w:val="TableNormal"/>
    <w:next w:val="TableGrid"/>
    <w:uiPriority w:val="39"/>
    <w:rsid w:val="005C1F8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E2B"/>
    <w:rPr>
      <w:rFonts w:asciiTheme="minorHAnsi" w:eastAsiaTheme="minorHAnsi" w:hAnsiTheme="minorHAnsi" w:cstheme="minorBidi"/>
    </w:rPr>
  </w:style>
  <w:style w:type="paragraph" w:styleId="Footer">
    <w:name w:val="footer"/>
    <w:basedOn w:val="Normal"/>
    <w:link w:val="FooterChar"/>
    <w:uiPriority w:val="99"/>
    <w:unhideWhenUsed/>
    <w:rsid w:val="008F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E2B"/>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8F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ED"/>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8A0BFC"/>
    <w:rPr>
      <w:sz w:val="16"/>
      <w:szCs w:val="16"/>
    </w:rPr>
  </w:style>
  <w:style w:type="paragraph" w:styleId="CommentText">
    <w:name w:val="annotation text"/>
    <w:basedOn w:val="Normal"/>
    <w:link w:val="CommentTextChar"/>
    <w:uiPriority w:val="99"/>
    <w:semiHidden/>
    <w:unhideWhenUsed/>
    <w:rsid w:val="008A0BFC"/>
    <w:pPr>
      <w:spacing w:line="240" w:lineRule="auto"/>
    </w:pPr>
    <w:rPr>
      <w:sz w:val="20"/>
      <w:szCs w:val="20"/>
    </w:rPr>
  </w:style>
  <w:style w:type="character" w:customStyle="1" w:styleId="CommentTextChar">
    <w:name w:val="Comment Text Char"/>
    <w:basedOn w:val="DefaultParagraphFont"/>
    <w:link w:val="CommentText"/>
    <w:uiPriority w:val="99"/>
    <w:semiHidden/>
    <w:rsid w:val="008A0BFC"/>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A0BFC"/>
    <w:rPr>
      <w:b/>
      <w:bCs/>
    </w:rPr>
  </w:style>
  <w:style w:type="character" w:customStyle="1" w:styleId="CommentSubjectChar">
    <w:name w:val="Comment Subject Char"/>
    <w:basedOn w:val="CommentTextChar"/>
    <w:link w:val="CommentSubject"/>
    <w:uiPriority w:val="99"/>
    <w:semiHidden/>
    <w:rsid w:val="008A0BFC"/>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19318">
      <w:bodyDiv w:val="1"/>
      <w:marLeft w:val="0"/>
      <w:marRight w:val="0"/>
      <w:marTop w:val="0"/>
      <w:marBottom w:val="0"/>
      <w:divBdr>
        <w:top w:val="none" w:sz="0" w:space="0" w:color="auto"/>
        <w:left w:val="none" w:sz="0" w:space="0" w:color="auto"/>
        <w:bottom w:val="none" w:sz="0" w:space="0" w:color="auto"/>
        <w:right w:val="none" w:sz="0" w:space="0" w:color="auto"/>
      </w:divBdr>
    </w:div>
    <w:div w:id="592782492">
      <w:bodyDiv w:val="1"/>
      <w:marLeft w:val="0"/>
      <w:marRight w:val="0"/>
      <w:marTop w:val="0"/>
      <w:marBottom w:val="0"/>
      <w:divBdr>
        <w:top w:val="none" w:sz="0" w:space="0" w:color="auto"/>
        <w:left w:val="none" w:sz="0" w:space="0" w:color="auto"/>
        <w:bottom w:val="none" w:sz="0" w:space="0" w:color="auto"/>
        <w:right w:val="none" w:sz="0" w:space="0" w:color="auto"/>
      </w:divBdr>
    </w:div>
    <w:div w:id="17688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94B32B161184697F347E65CE76A13" ma:contentTypeVersion="10" ma:contentTypeDescription="Create a new document." ma:contentTypeScope="" ma:versionID="f8d7b899c5323f7ac6cf2569b0244ba3">
  <xsd:schema xmlns:xsd="http://www.w3.org/2001/XMLSchema" xmlns:xs="http://www.w3.org/2001/XMLSchema" xmlns:p="http://schemas.microsoft.com/office/2006/metadata/properties" xmlns:ns3="12720990-7c57-49cb-b9f0-7c254cdd2d09" targetNamespace="http://schemas.microsoft.com/office/2006/metadata/properties" ma:root="true" ma:fieldsID="137784ded68c27b52041503ed192c8cf" ns3:_="">
    <xsd:import namespace="12720990-7c57-49cb-b9f0-7c254cdd2d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20990-7c57-49cb-b9f0-7c254cdd2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31FE4-D822-4DE2-BED9-CA161CA31C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5218-75CF-43E7-B801-1E08381721EA}">
  <ds:schemaRefs>
    <ds:schemaRef ds:uri="http://schemas.microsoft.com/sharepoint/v3/contenttype/forms"/>
  </ds:schemaRefs>
</ds:datastoreItem>
</file>

<file path=customXml/itemProps3.xml><?xml version="1.0" encoding="utf-8"?>
<ds:datastoreItem xmlns:ds="http://schemas.openxmlformats.org/officeDocument/2006/customXml" ds:itemID="{BD6545AF-207C-4055-B231-316D34C4B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20990-7c57-49cb-b9f0-7c254cdd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0DF013-B1E4-4CB1-9FAA-8BC333C6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27</cp:revision>
  <cp:lastPrinted>2019-05-28T18:20:00Z</cp:lastPrinted>
  <dcterms:created xsi:type="dcterms:W3CDTF">2020-01-11T21:18:00Z</dcterms:created>
  <dcterms:modified xsi:type="dcterms:W3CDTF">2020-04-29T14:42:00Z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0x010100AC894B32B161184697F347E65CE76A13</vt:lpwstr>
  </property>
</Properties>
</file>