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D241F" w14:textId="20F305A1" w:rsidR="005C1F8A" w:rsidRPr="004C374E" w:rsidRDefault="005C1F8A" w:rsidP="00897A1A">
      <w:pPr>
        <w:pBdr>
          <w:bottom w:val="single" w:sz="4" w:space="1" w:color="0070C0"/>
        </w:pBdr>
        <w:spacing w:after="0"/>
        <w:ind w:right="-630"/>
        <w:jc w:val="right"/>
        <w:rPr>
          <w:rFonts w:cs="Calibri"/>
          <w:color w:val="0070C0"/>
          <w:sz w:val="56"/>
          <w:szCs w:val="18"/>
          <w:lang w:val="es-PR"/>
        </w:rPr>
      </w:pPr>
      <w:r w:rsidRPr="00042B81">
        <w:rPr>
          <w:rFonts w:cs="Calibri"/>
          <w:noProof/>
          <w:color w:val="0070C0"/>
          <w:sz w:val="40"/>
          <w:szCs w:val="28"/>
        </w:rPr>
        <w:drawing>
          <wp:anchor distT="0" distB="0" distL="114300" distR="114300" simplePos="0" relativeHeight="251659264" behindDoc="0" locked="0" layoutInCell="1" allowOverlap="1" wp14:anchorId="6FAF41D4" wp14:editId="4E80F477">
            <wp:simplePos x="0" y="0"/>
            <wp:positionH relativeFrom="margin">
              <wp:posOffset>-68580</wp:posOffset>
            </wp:positionH>
            <wp:positionV relativeFrom="paragraph">
              <wp:posOffset>-553085</wp:posOffset>
            </wp:positionV>
            <wp:extent cx="893617" cy="8902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3617" cy="890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7A1A">
        <w:rPr>
          <w:rFonts w:cs="Calibri"/>
          <w:noProof/>
          <w:color w:val="0070C0"/>
          <w:sz w:val="40"/>
          <w:szCs w:val="28"/>
        </w:rPr>
        <w:t>SCILLSS Classroom Science Assessment Workshop</w:t>
      </w:r>
      <w:r w:rsidRPr="004C374E">
        <w:rPr>
          <w:rFonts w:cs="Calibri"/>
          <w:b/>
          <w:color w:val="0070C0"/>
          <w:sz w:val="144"/>
          <w:szCs w:val="18"/>
          <w:lang w:val="es-PR"/>
        </w:rPr>
        <w:t xml:space="preserve"> </w:t>
      </w:r>
    </w:p>
    <w:p w14:paraId="795BA1E6" w14:textId="087A53BC" w:rsidR="005A7955" w:rsidRPr="00042B81" w:rsidRDefault="00897A1A" w:rsidP="00832301">
      <w:pPr>
        <w:pStyle w:val="Heading1"/>
        <w:spacing w:before="0" w:after="240"/>
        <w:rPr>
          <w:color w:val="0070C0"/>
        </w:rPr>
      </w:pPr>
      <w:r>
        <w:rPr>
          <w:color w:val="0070C0"/>
        </w:rPr>
        <w:t xml:space="preserve">Grade 8 </w:t>
      </w:r>
      <w:r w:rsidR="004C374E" w:rsidRPr="00042B81">
        <w:rPr>
          <w:color w:val="0070C0"/>
        </w:rPr>
        <w:t>Partially Completed Unpacking Tool</w:t>
      </w:r>
    </w:p>
    <w:tbl>
      <w:tblPr>
        <w:tblStyle w:val="TableGrid2"/>
        <w:tblW w:w="1352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79"/>
        <w:gridCol w:w="3400"/>
        <w:gridCol w:w="3948"/>
        <w:gridCol w:w="1719"/>
        <w:gridCol w:w="2579"/>
      </w:tblGrid>
      <w:tr w:rsidR="004C374E" w:rsidRPr="004C374E" w14:paraId="6E9E9492" w14:textId="77777777" w:rsidTr="004C374E">
        <w:trPr>
          <w:trHeight w:val="293"/>
        </w:trPr>
        <w:tc>
          <w:tcPr>
            <w:tcW w:w="1879" w:type="dxa"/>
            <w:shd w:val="clear" w:color="auto" w:fill="auto"/>
          </w:tcPr>
          <w:p w14:paraId="7358DEBC" w14:textId="77777777" w:rsidR="004C374E" w:rsidRPr="004D13C7" w:rsidRDefault="004C374E" w:rsidP="004C374E">
            <w:pPr>
              <w:rPr>
                <w:b/>
                <w:sz w:val="20"/>
                <w:szCs w:val="20"/>
              </w:rPr>
            </w:pPr>
            <w:r w:rsidRPr="004D13C7">
              <w:rPr>
                <w:b/>
                <w:sz w:val="20"/>
                <w:szCs w:val="20"/>
              </w:rPr>
              <w:t xml:space="preserve">Grade:    </w:t>
            </w:r>
          </w:p>
        </w:tc>
        <w:tc>
          <w:tcPr>
            <w:tcW w:w="3400" w:type="dxa"/>
            <w:shd w:val="clear" w:color="auto" w:fill="auto"/>
          </w:tcPr>
          <w:p w14:paraId="3365C1B7" w14:textId="78563C60" w:rsidR="004C374E" w:rsidRPr="004D13C7" w:rsidRDefault="006465F9" w:rsidP="004C374E">
            <w:pPr>
              <w:spacing w:after="60"/>
              <w:rPr>
                <w:bCs/>
                <w:sz w:val="20"/>
                <w:szCs w:val="20"/>
              </w:rPr>
            </w:pPr>
            <w:r>
              <w:rPr>
                <w:bCs/>
                <w:sz w:val="20"/>
                <w:szCs w:val="20"/>
              </w:rPr>
              <w:t>8</w:t>
            </w:r>
          </w:p>
        </w:tc>
        <w:tc>
          <w:tcPr>
            <w:tcW w:w="3948" w:type="dxa"/>
            <w:shd w:val="clear" w:color="auto" w:fill="auto"/>
          </w:tcPr>
          <w:p w14:paraId="61C56737" w14:textId="77777777" w:rsidR="004C374E" w:rsidRPr="004D13C7" w:rsidRDefault="004C374E" w:rsidP="004C374E">
            <w:pPr>
              <w:spacing w:after="60"/>
              <w:jc w:val="center"/>
              <w:rPr>
                <w:b/>
                <w:sz w:val="20"/>
                <w:szCs w:val="20"/>
              </w:rPr>
            </w:pPr>
          </w:p>
        </w:tc>
        <w:tc>
          <w:tcPr>
            <w:tcW w:w="4298" w:type="dxa"/>
            <w:gridSpan w:val="2"/>
            <w:shd w:val="clear" w:color="auto" w:fill="auto"/>
          </w:tcPr>
          <w:p w14:paraId="6D158BBC" w14:textId="77777777" w:rsidR="004C374E" w:rsidRPr="004D13C7" w:rsidRDefault="004C374E" w:rsidP="004C374E">
            <w:pPr>
              <w:spacing w:after="60"/>
              <w:jc w:val="center"/>
              <w:rPr>
                <w:b/>
                <w:sz w:val="20"/>
                <w:szCs w:val="20"/>
              </w:rPr>
            </w:pPr>
          </w:p>
        </w:tc>
      </w:tr>
      <w:tr w:rsidR="00A251E3" w:rsidRPr="004C374E" w14:paraId="4CD400D1" w14:textId="77777777" w:rsidTr="00241B23">
        <w:trPr>
          <w:trHeight w:val="293"/>
        </w:trPr>
        <w:tc>
          <w:tcPr>
            <w:tcW w:w="13525" w:type="dxa"/>
            <w:gridSpan w:val="5"/>
            <w:shd w:val="clear" w:color="auto" w:fill="auto"/>
          </w:tcPr>
          <w:p w14:paraId="795F01C6" w14:textId="6A0F9EDF" w:rsidR="00A251E3" w:rsidRPr="004D13C7" w:rsidRDefault="00A251E3" w:rsidP="004C374E">
            <w:pPr>
              <w:spacing w:after="60"/>
              <w:rPr>
                <w:b/>
                <w:sz w:val="20"/>
                <w:szCs w:val="20"/>
              </w:rPr>
            </w:pPr>
            <w:r>
              <w:rPr>
                <w:rFonts w:cs="Calibri"/>
                <w:b/>
              </w:rPr>
              <w:t xml:space="preserve">NGSS Performance Expectation: </w:t>
            </w:r>
            <w:r w:rsidRPr="004D13C7">
              <w:rPr>
                <w:b/>
                <w:sz w:val="20"/>
                <w:szCs w:val="20"/>
              </w:rPr>
              <w:t xml:space="preserve">MS-PS3-1. </w:t>
            </w:r>
            <w:r w:rsidRPr="004D13C7">
              <w:rPr>
                <w:bCs/>
                <w:sz w:val="20"/>
                <w:szCs w:val="20"/>
              </w:rPr>
              <w:t>Construct and interpret graphical displays of data to describe the relationships of kinetic energy to the mass of an object and to the speed of an object.</w:t>
            </w:r>
          </w:p>
        </w:tc>
      </w:tr>
      <w:tr w:rsidR="004C374E" w:rsidRPr="004C374E" w14:paraId="03AF32A7" w14:textId="77777777" w:rsidTr="004C374E">
        <w:trPr>
          <w:trHeight w:val="293"/>
        </w:trPr>
        <w:tc>
          <w:tcPr>
            <w:tcW w:w="1879" w:type="dxa"/>
            <w:vMerge w:val="restart"/>
            <w:shd w:val="clear" w:color="auto" w:fill="auto"/>
          </w:tcPr>
          <w:p w14:paraId="7C301D60" w14:textId="77777777" w:rsidR="004C374E" w:rsidRPr="004D13C7" w:rsidRDefault="004C374E" w:rsidP="004C374E">
            <w:pPr>
              <w:jc w:val="center"/>
              <w:rPr>
                <w:b/>
                <w:sz w:val="20"/>
                <w:szCs w:val="20"/>
              </w:rPr>
            </w:pPr>
          </w:p>
        </w:tc>
        <w:tc>
          <w:tcPr>
            <w:tcW w:w="3400" w:type="dxa"/>
            <w:shd w:val="clear" w:color="auto" w:fill="0070C0"/>
          </w:tcPr>
          <w:p w14:paraId="5CE3E8B4" w14:textId="77777777" w:rsidR="004C374E" w:rsidRPr="004D13C7" w:rsidRDefault="004C374E" w:rsidP="004C374E">
            <w:pPr>
              <w:spacing w:after="60"/>
              <w:jc w:val="center"/>
              <w:rPr>
                <w:b/>
                <w:sz w:val="20"/>
                <w:szCs w:val="20"/>
              </w:rPr>
            </w:pPr>
            <w:r w:rsidRPr="004D13C7">
              <w:rPr>
                <w:b/>
                <w:sz w:val="20"/>
                <w:szCs w:val="20"/>
              </w:rPr>
              <w:t>Science and Engineering Practices (SEP)</w:t>
            </w:r>
          </w:p>
        </w:tc>
        <w:tc>
          <w:tcPr>
            <w:tcW w:w="3948" w:type="dxa"/>
            <w:shd w:val="clear" w:color="auto" w:fill="FF9900"/>
          </w:tcPr>
          <w:p w14:paraId="2E6332E9" w14:textId="77777777" w:rsidR="004C374E" w:rsidRPr="004D13C7" w:rsidRDefault="004C374E" w:rsidP="004C374E">
            <w:pPr>
              <w:spacing w:after="60"/>
              <w:jc w:val="center"/>
              <w:rPr>
                <w:b/>
                <w:sz w:val="20"/>
                <w:szCs w:val="20"/>
              </w:rPr>
            </w:pPr>
            <w:r w:rsidRPr="004D13C7">
              <w:rPr>
                <w:b/>
                <w:sz w:val="20"/>
                <w:szCs w:val="20"/>
              </w:rPr>
              <w:t>Disciplinary Core Ideas (DCI)</w:t>
            </w:r>
          </w:p>
        </w:tc>
        <w:tc>
          <w:tcPr>
            <w:tcW w:w="4298" w:type="dxa"/>
            <w:gridSpan w:val="2"/>
            <w:shd w:val="clear" w:color="auto" w:fill="D6E3BC" w:themeFill="accent3" w:themeFillTint="66"/>
          </w:tcPr>
          <w:p w14:paraId="2EA4CF3D" w14:textId="77777777" w:rsidR="004C374E" w:rsidRPr="004D13C7" w:rsidRDefault="004C374E" w:rsidP="004C374E">
            <w:pPr>
              <w:spacing w:after="60"/>
              <w:jc w:val="center"/>
              <w:rPr>
                <w:b/>
                <w:sz w:val="20"/>
                <w:szCs w:val="20"/>
              </w:rPr>
            </w:pPr>
            <w:r w:rsidRPr="004D13C7">
              <w:rPr>
                <w:b/>
                <w:sz w:val="20"/>
                <w:szCs w:val="20"/>
              </w:rPr>
              <w:t>Crosscutting Concepts (CCC)</w:t>
            </w:r>
          </w:p>
        </w:tc>
      </w:tr>
      <w:tr w:rsidR="004C374E" w:rsidRPr="004C374E" w14:paraId="008B385E" w14:textId="77777777" w:rsidTr="004D13C7">
        <w:trPr>
          <w:trHeight w:val="1475"/>
        </w:trPr>
        <w:tc>
          <w:tcPr>
            <w:tcW w:w="1879" w:type="dxa"/>
            <w:vMerge/>
            <w:shd w:val="clear" w:color="auto" w:fill="auto"/>
          </w:tcPr>
          <w:p w14:paraId="7336DBD3" w14:textId="77777777" w:rsidR="004C374E" w:rsidRPr="004D13C7" w:rsidRDefault="004C374E" w:rsidP="004C374E">
            <w:pPr>
              <w:rPr>
                <w:sz w:val="20"/>
                <w:szCs w:val="20"/>
              </w:rPr>
            </w:pPr>
          </w:p>
        </w:tc>
        <w:tc>
          <w:tcPr>
            <w:tcW w:w="3400" w:type="dxa"/>
            <w:shd w:val="clear" w:color="auto" w:fill="DBE5F1" w:themeFill="accent1" w:themeFillTint="33"/>
          </w:tcPr>
          <w:p w14:paraId="1A9C1F79" w14:textId="77777777" w:rsidR="004C374E" w:rsidRPr="004D13C7" w:rsidRDefault="004C374E" w:rsidP="004C374E">
            <w:pPr>
              <w:spacing w:after="60"/>
              <w:rPr>
                <w:b/>
                <w:sz w:val="20"/>
                <w:szCs w:val="20"/>
              </w:rPr>
            </w:pPr>
            <w:r w:rsidRPr="004D13C7">
              <w:rPr>
                <w:b/>
                <w:sz w:val="20"/>
                <w:szCs w:val="20"/>
              </w:rPr>
              <w:t>SEP:</w:t>
            </w:r>
            <w:r w:rsidRPr="004D13C7">
              <w:rPr>
                <w:sz w:val="20"/>
                <w:szCs w:val="20"/>
              </w:rPr>
              <w:t xml:space="preserve"> </w:t>
            </w:r>
            <w:r w:rsidRPr="004D13C7">
              <w:rPr>
                <w:b/>
                <w:sz w:val="20"/>
                <w:szCs w:val="20"/>
              </w:rPr>
              <w:t>Analyzing and Interpreting Data</w:t>
            </w:r>
          </w:p>
          <w:p w14:paraId="72701522" w14:textId="77777777" w:rsidR="004C374E" w:rsidRPr="004D13C7" w:rsidRDefault="004C374E" w:rsidP="004C374E">
            <w:pPr>
              <w:spacing w:after="60"/>
              <w:rPr>
                <w:sz w:val="20"/>
                <w:szCs w:val="20"/>
              </w:rPr>
            </w:pPr>
            <w:r w:rsidRPr="004D13C7">
              <w:rPr>
                <w:sz w:val="20"/>
                <w:szCs w:val="20"/>
              </w:rPr>
              <w:t>Construct and interpret graphical displays of data to identify linear and nonlinear relationships.</w:t>
            </w:r>
          </w:p>
        </w:tc>
        <w:tc>
          <w:tcPr>
            <w:tcW w:w="3948" w:type="dxa"/>
            <w:shd w:val="clear" w:color="auto" w:fill="F2DBDB" w:themeFill="accent2" w:themeFillTint="33"/>
          </w:tcPr>
          <w:p w14:paraId="50E7B1B0" w14:textId="77777777" w:rsidR="004C374E" w:rsidRPr="004D13C7" w:rsidRDefault="004C374E" w:rsidP="004C374E">
            <w:pPr>
              <w:spacing w:after="60"/>
              <w:rPr>
                <w:b/>
                <w:sz w:val="20"/>
                <w:szCs w:val="20"/>
              </w:rPr>
            </w:pPr>
            <w:r w:rsidRPr="004D13C7">
              <w:rPr>
                <w:b/>
                <w:sz w:val="20"/>
                <w:szCs w:val="20"/>
              </w:rPr>
              <w:t>DCI:</w:t>
            </w:r>
            <w:r w:rsidRPr="004D13C7">
              <w:rPr>
                <w:sz w:val="20"/>
                <w:szCs w:val="20"/>
              </w:rPr>
              <w:t xml:space="preserve">  </w:t>
            </w:r>
            <w:r w:rsidRPr="004D13C7">
              <w:rPr>
                <w:b/>
                <w:sz w:val="20"/>
                <w:szCs w:val="20"/>
              </w:rPr>
              <w:t>PS3.A: Definitions of Energy</w:t>
            </w:r>
          </w:p>
          <w:p w14:paraId="63987BFC" w14:textId="77777777" w:rsidR="004C374E" w:rsidRPr="004D13C7" w:rsidRDefault="004C374E" w:rsidP="004C374E">
            <w:pPr>
              <w:spacing w:after="60"/>
              <w:rPr>
                <w:bCs/>
                <w:sz w:val="20"/>
                <w:szCs w:val="20"/>
              </w:rPr>
            </w:pPr>
            <w:r w:rsidRPr="004D13C7">
              <w:rPr>
                <w:bCs/>
                <w:sz w:val="20"/>
                <w:szCs w:val="20"/>
              </w:rPr>
              <w:t>Motion energy is properly called kinetic energy; it is proportional to the mass of the moving object and grows with the square of its speed.</w:t>
            </w:r>
          </w:p>
        </w:tc>
        <w:tc>
          <w:tcPr>
            <w:tcW w:w="4298" w:type="dxa"/>
            <w:gridSpan w:val="2"/>
            <w:shd w:val="clear" w:color="auto" w:fill="EAF1DD" w:themeFill="accent3" w:themeFillTint="33"/>
          </w:tcPr>
          <w:p w14:paraId="6BD96496" w14:textId="77777777" w:rsidR="004C374E" w:rsidRPr="004D13C7" w:rsidRDefault="004C374E" w:rsidP="004C374E">
            <w:pPr>
              <w:spacing w:after="60"/>
              <w:rPr>
                <w:b/>
                <w:sz w:val="20"/>
                <w:szCs w:val="20"/>
              </w:rPr>
            </w:pPr>
            <w:r w:rsidRPr="004D13C7">
              <w:rPr>
                <w:b/>
                <w:sz w:val="20"/>
                <w:szCs w:val="20"/>
              </w:rPr>
              <w:t>CCC:</w:t>
            </w:r>
            <w:r w:rsidRPr="004D13C7">
              <w:rPr>
                <w:sz w:val="20"/>
                <w:szCs w:val="20"/>
              </w:rPr>
              <w:t xml:space="preserve">  </w:t>
            </w:r>
            <w:r w:rsidRPr="004D13C7">
              <w:rPr>
                <w:b/>
                <w:sz w:val="20"/>
                <w:szCs w:val="20"/>
              </w:rPr>
              <w:t>Scale, Proportion, and Quantity</w:t>
            </w:r>
          </w:p>
          <w:p w14:paraId="0DF4B9DE" w14:textId="77777777" w:rsidR="004C374E" w:rsidRPr="004D13C7" w:rsidRDefault="004C374E" w:rsidP="004C374E">
            <w:pPr>
              <w:spacing w:after="60"/>
              <w:rPr>
                <w:bCs/>
                <w:sz w:val="20"/>
                <w:szCs w:val="20"/>
              </w:rPr>
            </w:pPr>
            <w:r w:rsidRPr="004D13C7">
              <w:rPr>
                <w:bCs/>
                <w:sz w:val="20"/>
                <w:szCs w:val="20"/>
              </w:rPr>
              <w:t>Proportional relationships (e.g. speed as the ratio of distance traveled to time taken) among different types of quantities provide information about the magnitude of properties and processes.</w:t>
            </w:r>
          </w:p>
        </w:tc>
      </w:tr>
      <w:tr w:rsidR="004C374E" w:rsidRPr="004C374E" w14:paraId="4A81AE27" w14:textId="77777777" w:rsidTr="004C374E">
        <w:trPr>
          <w:trHeight w:val="3064"/>
        </w:trPr>
        <w:tc>
          <w:tcPr>
            <w:tcW w:w="1879" w:type="dxa"/>
          </w:tcPr>
          <w:p w14:paraId="77FE22E5" w14:textId="77777777" w:rsidR="004C374E" w:rsidRPr="004D13C7" w:rsidRDefault="004C374E" w:rsidP="004C374E">
            <w:pPr>
              <w:rPr>
                <w:b/>
                <w:sz w:val="20"/>
                <w:szCs w:val="20"/>
              </w:rPr>
            </w:pPr>
            <w:r w:rsidRPr="004D13C7">
              <w:rPr>
                <w:b/>
                <w:sz w:val="20"/>
                <w:szCs w:val="20"/>
              </w:rPr>
              <w:t>Key Aspects</w:t>
            </w:r>
          </w:p>
        </w:tc>
        <w:tc>
          <w:tcPr>
            <w:tcW w:w="3400" w:type="dxa"/>
            <w:shd w:val="clear" w:color="auto" w:fill="DBE5F1" w:themeFill="accent1" w:themeFillTint="33"/>
          </w:tcPr>
          <w:p w14:paraId="6B8DA699" w14:textId="77777777" w:rsidR="004C374E" w:rsidRPr="004D13C7" w:rsidRDefault="004C374E" w:rsidP="004C374E">
            <w:pPr>
              <w:pStyle w:val="ListParagraph"/>
              <w:numPr>
                <w:ilvl w:val="0"/>
                <w:numId w:val="5"/>
              </w:numPr>
              <w:spacing w:after="60" w:line="240" w:lineRule="auto"/>
              <w:rPr>
                <w:sz w:val="20"/>
                <w:szCs w:val="20"/>
              </w:rPr>
            </w:pPr>
            <w:r w:rsidRPr="004D13C7">
              <w:rPr>
                <w:sz w:val="20"/>
                <w:szCs w:val="20"/>
              </w:rPr>
              <w:t>Graphing, analyzing, and interpreting data.</w:t>
            </w:r>
          </w:p>
          <w:p w14:paraId="343D2741" w14:textId="77777777" w:rsidR="004C374E" w:rsidRPr="004D13C7" w:rsidRDefault="004C374E" w:rsidP="004C374E">
            <w:pPr>
              <w:pStyle w:val="ListParagraph"/>
              <w:numPr>
                <w:ilvl w:val="0"/>
                <w:numId w:val="5"/>
              </w:numPr>
              <w:spacing w:after="60" w:line="240" w:lineRule="auto"/>
              <w:rPr>
                <w:sz w:val="20"/>
                <w:szCs w:val="20"/>
              </w:rPr>
            </w:pPr>
            <w:r w:rsidRPr="004D13C7">
              <w:rPr>
                <w:sz w:val="20"/>
                <w:szCs w:val="20"/>
              </w:rPr>
              <w:t>Use graphical displays of data to identify linear relationships.</w:t>
            </w:r>
          </w:p>
          <w:p w14:paraId="2917C334" w14:textId="77777777" w:rsidR="004C374E" w:rsidRPr="004D13C7" w:rsidRDefault="004C374E" w:rsidP="004C374E">
            <w:pPr>
              <w:pStyle w:val="ListParagraph"/>
              <w:numPr>
                <w:ilvl w:val="0"/>
                <w:numId w:val="5"/>
              </w:numPr>
              <w:spacing w:after="60" w:line="240" w:lineRule="auto"/>
              <w:rPr>
                <w:sz w:val="20"/>
                <w:szCs w:val="20"/>
              </w:rPr>
            </w:pPr>
            <w:r w:rsidRPr="004D13C7">
              <w:rPr>
                <w:sz w:val="20"/>
                <w:szCs w:val="20"/>
              </w:rPr>
              <w:t>Use graphical displays of data to identify nonlinear relationships.</w:t>
            </w:r>
          </w:p>
          <w:p w14:paraId="0FA86C86" w14:textId="77777777" w:rsidR="004C374E" w:rsidRPr="004D13C7" w:rsidRDefault="004C374E" w:rsidP="004C374E">
            <w:pPr>
              <w:pStyle w:val="ListParagraph"/>
              <w:numPr>
                <w:ilvl w:val="0"/>
                <w:numId w:val="5"/>
              </w:numPr>
              <w:spacing w:after="60" w:line="240" w:lineRule="auto"/>
              <w:rPr>
                <w:sz w:val="20"/>
                <w:szCs w:val="20"/>
              </w:rPr>
            </w:pPr>
            <w:r w:rsidRPr="004D13C7">
              <w:rPr>
                <w:sz w:val="20"/>
                <w:szCs w:val="20"/>
              </w:rPr>
              <w:t xml:space="preserve">Analyze data to refine a problem statement or the design of a proposed object, tool, or process. </w:t>
            </w:r>
          </w:p>
        </w:tc>
        <w:tc>
          <w:tcPr>
            <w:tcW w:w="3948" w:type="dxa"/>
            <w:shd w:val="clear" w:color="auto" w:fill="F2DBDB" w:themeFill="accent2" w:themeFillTint="33"/>
          </w:tcPr>
          <w:p w14:paraId="4B5800DC" w14:textId="77777777" w:rsidR="004C374E" w:rsidRPr="004D13C7" w:rsidRDefault="004C374E" w:rsidP="004C374E">
            <w:pPr>
              <w:pStyle w:val="ListParagraph"/>
              <w:numPr>
                <w:ilvl w:val="0"/>
                <w:numId w:val="6"/>
              </w:numPr>
              <w:spacing w:after="60" w:line="240" w:lineRule="auto"/>
              <w:rPr>
                <w:sz w:val="20"/>
                <w:szCs w:val="20"/>
              </w:rPr>
            </w:pPr>
            <w:r w:rsidRPr="004D13C7">
              <w:rPr>
                <w:sz w:val="20"/>
                <w:szCs w:val="20"/>
              </w:rPr>
              <w:t>The kinetic energy of an object is proportional to its mass.</w:t>
            </w:r>
          </w:p>
          <w:p w14:paraId="0A25C9E6" w14:textId="77777777" w:rsidR="004C374E" w:rsidRPr="004D13C7" w:rsidRDefault="004C374E" w:rsidP="004C374E">
            <w:pPr>
              <w:pStyle w:val="ListParagraph"/>
              <w:numPr>
                <w:ilvl w:val="0"/>
                <w:numId w:val="6"/>
              </w:numPr>
              <w:spacing w:after="60" w:line="240" w:lineRule="auto"/>
              <w:rPr>
                <w:sz w:val="20"/>
                <w:szCs w:val="20"/>
              </w:rPr>
            </w:pPr>
            <w:r w:rsidRPr="004D13C7">
              <w:rPr>
                <w:sz w:val="20"/>
                <w:szCs w:val="20"/>
              </w:rPr>
              <w:t>When an object is in motion, the energy it contains is called kinetic energy.</w:t>
            </w:r>
          </w:p>
          <w:p w14:paraId="66BF2517" w14:textId="77777777" w:rsidR="004C374E" w:rsidRPr="004D13C7" w:rsidRDefault="004C374E" w:rsidP="004C374E">
            <w:pPr>
              <w:pStyle w:val="ListParagraph"/>
              <w:numPr>
                <w:ilvl w:val="0"/>
                <w:numId w:val="6"/>
              </w:numPr>
              <w:rPr>
                <w:sz w:val="20"/>
                <w:szCs w:val="20"/>
              </w:rPr>
            </w:pPr>
            <w:r w:rsidRPr="004D13C7">
              <w:rPr>
                <w:sz w:val="20"/>
                <w:szCs w:val="20"/>
              </w:rPr>
              <w:t>Kinetic energy is associated with the speed and the mass of an object.</w:t>
            </w:r>
          </w:p>
        </w:tc>
        <w:tc>
          <w:tcPr>
            <w:tcW w:w="4298" w:type="dxa"/>
            <w:gridSpan w:val="2"/>
            <w:shd w:val="clear" w:color="auto" w:fill="EAF1DD" w:themeFill="accent3" w:themeFillTint="33"/>
          </w:tcPr>
          <w:p w14:paraId="4DFEC776" w14:textId="77777777" w:rsidR="004C374E" w:rsidRPr="004D13C7" w:rsidRDefault="004C374E" w:rsidP="004C374E">
            <w:pPr>
              <w:pStyle w:val="ListParagraph"/>
              <w:numPr>
                <w:ilvl w:val="0"/>
                <w:numId w:val="3"/>
              </w:numPr>
              <w:spacing w:after="60" w:line="240" w:lineRule="auto"/>
              <w:rPr>
                <w:sz w:val="20"/>
                <w:szCs w:val="20"/>
              </w:rPr>
            </w:pPr>
            <w:r w:rsidRPr="004D13C7">
              <w:rPr>
                <w:sz w:val="20"/>
                <w:szCs w:val="20"/>
              </w:rPr>
              <w:t xml:space="preserve">Speed is the ratio of distance traveled to time taken. </w:t>
            </w:r>
          </w:p>
          <w:p w14:paraId="4236C71E" w14:textId="77777777" w:rsidR="004C374E" w:rsidRPr="004D13C7" w:rsidRDefault="004C374E" w:rsidP="004C374E">
            <w:pPr>
              <w:pStyle w:val="ListParagraph"/>
              <w:numPr>
                <w:ilvl w:val="0"/>
                <w:numId w:val="3"/>
              </w:numPr>
              <w:spacing w:after="60" w:line="240" w:lineRule="auto"/>
              <w:rPr>
                <w:sz w:val="20"/>
                <w:szCs w:val="20"/>
              </w:rPr>
            </w:pPr>
            <w:r w:rsidRPr="004D13C7">
              <w:rPr>
                <w:sz w:val="20"/>
                <w:szCs w:val="20"/>
              </w:rPr>
              <w:t>Ratio and proportionality provide information about the magnitude of processes.</w:t>
            </w:r>
          </w:p>
        </w:tc>
      </w:tr>
      <w:tr w:rsidR="004C374E" w:rsidRPr="004C374E" w14:paraId="16552E36" w14:textId="77777777" w:rsidTr="00A251E3">
        <w:trPr>
          <w:trHeight w:val="1610"/>
        </w:trPr>
        <w:tc>
          <w:tcPr>
            <w:tcW w:w="1879" w:type="dxa"/>
          </w:tcPr>
          <w:p w14:paraId="6C02E95A" w14:textId="77777777" w:rsidR="004C374E" w:rsidRPr="004D13C7" w:rsidRDefault="004C374E" w:rsidP="004C374E">
            <w:pPr>
              <w:rPr>
                <w:b/>
                <w:sz w:val="20"/>
                <w:szCs w:val="20"/>
              </w:rPr>
            </w:pPr>
            <w:r w:rsidRPr="004D13C7">
              <w:rPr>
                <w:b/>
                <w:sz w:val="20"/>
                <w:szCs w:val="20"/>
              </w:rPr>
              <w:t>Prior Knowledge</w:t>
            </w:r>
          </w:p>
        </w:tc>
        <w:tc>
          <w:tcPr>
            <w:tcW w:w="3400" w:type="dxa"/>
            <w:shd w:val="clear" w:color="auto" w:fill="DBE5F1" w:themeFill="accent1" w:themeFillTint="33"/>
          </w:tcPr>
          <w:p w14:paraId="46BF2412" w14:textId="77777777" w:rsidR="004C374E" w:rsidRPr="004D13C7" w:rsidRDefault="004C374E" w:rsidP="004C374E">
            <w:pPr>
              <w:pStyle w:val="ListParagraph"/>
              <w:numPr>
                <w:ilvl w:val="0"/>
                <w:numId w:val="7"/>
              </w:numPr>
              <w:spacing w:after="60" w:line="240" w:lineRule="auto"/>
              <w:rPr>
                <w:sz w:val="20"/>
                <w:szCs w:val="20"/>
              </w:rPr>
            </w:pPr>
            <w:r w:rsidRPr="004D13C7">
              <w:rPr>
                <w:sz w:val="20"/>
                <w:szCs w:val="20"/>
              </w:rPr>
              <w:t>Create and read graphs.</w:t>
            </w:r>
          </w:p>
          <w:p w14:paraId="2DD7A27A" w14:textId="77777777" w:rsidR="004C374E" w:rsidRPr="004D13C7" w:rsidRDefault="004C374E" w:rsidP="004C374E">
            <w:pPr>
              <w:pStyle w:val="ListParagraph"/>
              <w:numPr>
                <w:ilvl w:val="0"/>
                <w:numId w:val="7"/>
              </w:numPr>
              <w:spacing w:after="60" w:line="240" w:lineRule="auto"/>
              <w:rPr>
                <w:sz w:val="20"/>
                <w:szCs w:val="20"/>
              </w:rPr>
            </w:pPr>
            <w:r w:rsidRPr="004D13C7">
              <w:rPr>
                <w:sz w:val="20"/>
                <w:szCs w:val="20"/>
              </w:rPr>
              <w:t>Represent data in tables and/or various graphical displays (bar graphs, pictographs and/or pie</w:t>
            </w:r>
          </w:p>
          <w:p w14:paraId="4480F74A" w14:textId="77777777" w:rsidR="004C374E" w:rsidRPr="004D13C7" w:rsidRDefault="004C374E" w:rsidP="004C374E">
            <w:pPr>
              <w:pStyle w:val="ListParagraph"/>
              <w:spacing w:after="60" w:line="240" w:lineRule="auto"/>
              <w:ind w:left="360"/>
              <w:rPr>
                <w:sz w:val="20"/>
                <w:szCs w:val="20"/>
              </w:rPr>
            </w:pPr>
            <w:r w:rsidRPr="004D13C7">
              <w:rPr>
                <w:sz w:val="20"/>
                <w:szCs w:val="20"/>
              </w:rPr>
              <w:t xml:space="preserve">charts) to reveal patterns that indicate relationships. </w:t>
            </w:r>
          </w:p>
        </w:tc>
        <w:tc>
          <w:tcPr>
            <w:tcW w:w="3948" w:type="dxa"/>
            <w:shd w:val="clear" w:color="auto" w:fill="F2DBDB" w:themeFill="accent2" w:themeFillTint="33"/>
          </w:tcPr>
          <w:p w14:paraId="229BAAFA" w14:textId="77777777" w:rsidR="004C374E" w:rsidRPr="004D13C7" w:rsidRDefault="004C374E" w:rsidP="004C374E">
            <w:pPr>
              <w:pStyle w:val="ListParagraph"/>
              <w:numPr>
                <w:ilvl w:val="0"/>
                <w:numId w:val="7"/>
              </w:numPr>
              <w:spacing w:after="60" w:line="240" w:lineRule="auto"/>
              <w:rPr>
                <w:sz w:val="20"/>
                <w:szCs w:val="20"/>
              </w:rPr>
            </w:pPr>
            <w:r w:rsidRPr="004D13C7">
              <w:rPr>
                <w:sz w:val="20"/>
                <w:szCs w:val="20"/>
              </w:rPr>
              <w:t>Objects have mass.</w:t>
            </w:r>
          </w:p>
          <w:p w14:paraId="48FAEB2C" w14:textId="77777777" w:rsidR="004C374E" w:rsidRPr="004D13C7" w:rsidRDefault="004C374E" w:rsidP="004C374E">
            <w:pPr>
              <w:pStyle w:val="ListParagraph"/>
              <w:numPr>
                <w:ilvl w:val="0"/>
                <w:numId w:val="7"/>
              </w:numPr>
              <w:spacing w:after="60" w:line="240" w:lineRule="auto"/>
              <w:rPr>
                <w:sz w:val="20"/>
                <w:szCs w:val="20"/>
              </w:rPr>
            </w:pPr>
            <w:r w:rsidRPr="004D13C7">
              <w:rPr>
                <w:sz w:val="20"/>
                <w:szCs w:val="20"/>
              </w:rPr>
              <w:t>Objects in motion contain energy.</w:t>
            </w:r>
          </w:p>
          <w:p w14:paraId="5D1CD338" w14:textId="77777777" w:rsidR="004C374E" w:rsidRPr="004D13C7" w:rsidRDefault="004C374E" w:rsidP="004C374E">
            <w:pPr>
              <w:pStyle w:val="ListParagraph"/>
              <w:numPr>
                <w:ilvl w:val="0"/>
                <w:numId w:val="7"/>
              </w:numPr>
              <w:rPr>
                <w:sz w:val="20"/>
                <w:szCs w:val="20"/>
              </w:rPr>
            </w:pPr>
            <w:r w:rsidRPr="004D13C7">
              <w:rPr>
                <w:sz w:val="20"/>
                <w:szCs w:val="20"/>
              </w:rPr>
              <w:t>Massive objects require more force to move than lighter objects.</w:t>
            </w:r>
          </w:p>
        </w:tc>
        <w:tc>
          <w:tcPr>
            <w:tcW w:w="1719" w:type="dxa"/>
            <w:shd w:val="clear" w:color="auto" w:fill="F2F2F2" w:themeFill="background1" w:themeFillShade="F2"/>
          </w:tcPr>
          <w:p w14:paraId="35DFFC30" w14:textId="77777777" w:rsidR="004C374E" w:rsidRPr="004D13C7" w:rsidRDefault="004C374E" w:rsidP="004C374E">
            <w:pPr>
              <w:spacing w:after="60"/>
              <w:rPr>
                <w:b/>
                <w:sz w:val="20"/>
                <w:szCs w:val="20"/>
              </w:rPr>
            </w:pPr>
            <w:r w:rsidRPr="004D13C7">
              <w:rPr>
                <w:b/>
                <w:sz w:val="20"/>
                <w:szCs w:val="20"/>
              </w:rPr>
              <w:t>Relationships to SEPs</w:t>
            </w:r>
          </w:p>
        </w:tc>
        <w:tc>
          <w:tcPr>
            <w:tcW w:w="2579" w:type="dxa"/>
            <w:shd w:val="clear" w:color="auto" w:fill="EAF1DD" w:themeFill="accent3" w:themeFillTint="33"/>
          </w:tcPr>
          <w:p w14:paraId="6CDA860A" w14:textId="77777777" w:rsidR="004C374E" w:rsidRPr="004D13C7" w:rsidRDefault="004C374E" w:rsidP="004C374E">
            <w:pPr>
              <w:pStyle w:val="ListParagraph"/>
              <w:numPr>
                <w:ilvl w:val="0"/>
                <w:numId w:val="3"/>
              </w:numPr>
              <w:spacing w:after="60" w:line="240" w:lineRule="auto"/>
              <w:rPr>
                <w:sz w:val="20"/>
                <w:szCs w:val="20"/>
              </w:rPr>
            </w:pPr>
            <w:r w:rsidRPr="004D13C7">
              <w:rPr>
                <w:sz w:val="20"/>
                <w:szCs w:val="20"/>
              </w:rPr>
              <w:t>Mathematics is essential in both science and engineering.</w:t>
            </w:r>
          </w:p>
        </w:tc>
      </w:tr>
    </w:tbl>
    <w:p w14:paraId="5803A95D" w14:textId="06A47BC0" w:rsidR="00E2758C" w:rsidRDefault="00E2758C" w:rsidP="00E2758C"/>
    <w:p w14:paraId="0AC8597D" w14:textId="0AA9FF5F" w:rsidR="00B31E61" w:rsidRPr="00356558" w:rsidRDefault="00B31E61" w:rsidP="00B31E61">
      <w:pPr>
        <w:rPr>
          <w:rFonts w:eastAsia="Calibri"/>
          <w:sz w:val="18"/>
          <w:szCs w:val="18"/>
        </w:rPr>
      </w:pPr>
      <w:r>
        <w:lastRenderedPageBreak/>
        <w:t>This partially completed unpacking tool was</w:t>
      </w:r>
      <w:r w:rsidRPr="25D0DD65">
        <w:t xml:space="preserve"> developed with funding from the US Department of Education under Enhanced Assessment Grants Program CFDA 84.368A. The contents do not necessarily represent the policy of the US Department of Education, and no assumption of endorsement by the Federal government should be made. </w:t>
      </w:r>
      <w:r>
        <w:br/>
      </w:r>
      <w:r>
        <w:br/>
      </w:r>
      <w:r w:rsidRPr="25D0DD65">
        <w:t xml:space="preserve">All rights reserved. Any or all portions of this document may be reproduced and distributed without prior permission, provided the source is cited as: Strengthening Claims-based Interpretations and Uses of Local and Large-scale Science Assessment Scores Project (SCILLSS). (2020). </w:t>
      </w:r>
      <w:r w:rsidRPr="25D0DD65">
        <w:rPr>
          <w:i/>
          <w:iCs/>
        </w:rPr>
        <w:t>SCILLSS Classroom Science Assessment Workshop</w:t>
      </w:r>
      <w:r>
        <w:rPr>
          <w:i/>
          <w:iCs/>
        </w:rPr>
        <w:t xml:space="preserve">: Grade </w:t>
      </w:r>
      <w:r>
        <w:rPr>
          <w:i/>
          <w:iCs/>
        </w:rPr>
        <w:t>8</w:t>
      </w:r>
      <w:bookmarkStart w:id="0" w:name="_GoBack"/>
      <w:bookmarkEnd w:id="0"/>
      <w:r>
        <w:rPr>
          <w:i/>
          <w:iCs/>
        </w:rPr>
        <w:t xml:space="preserve"> Partially Completed Unpacking Tool</w:t>
      </w:r>
      <w:r w:rsidRPr="25D0DD65">
        <w:t>. Lincoln, NE: Nebraska Department of Education.</w:t>
      </w:r>
    </w:p>
    <w:p w14:paraId="6F2C1FAE" w14:textId="77777777" w:rsidR="00B31E61" w:rsidRPr="00E2758C" w:rsidRDefault="00B31E61" w:rsidP="00E2758C">
      <w:pPr>
        <w:rPr>
          <w:rFonts w:eastAsia="Calibri"/>
          <w:sz w:val="18"/>
          <w:szCs w:val="18"/>
        </w:rPr>
      </w:pPr>
    </w:p>
    <w:sectPr w:rsidR="00B31E61" w:rsidRPr="00E2758C" w:rsidSect="004C374E">
      <w:footerReference w:type="default" r:id="rId9"/>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3968E" w14:textId="77777777" w:rsidR="00804EFD" w:rsidRDefault="00804EFD" w:rsidP="008F6E2B">
      <w:pPr>
        <w:spacing w:after="0" w:line="240" w:lineRule="auto"/>
      </w:pPr>
      <w:r>
        <w:separator/>
      </w:r>
    </w:p>
  </w:endnote>
  <w:endnote w:type="continuationSeparator" w:id="0">
    <w:p w14:paraId="7AAAB555" w14:textId="77777777" w:rsidR="00804EFD" w:rsidRDefault="00804EFD" w:rsidP="008F6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B9BDA" w14:textId="000EFF56" w:rsidR="008F6E2B" w:rsidRPr="004C374E" w:rsidRDefault="004C374E" w:rsidP="004C374E">
    <w:pPr>
      <w:pStyle w:val="Footer"/>
    </w:pPr>
    <w:r>
      <w:t>SCILLSS Classroom Science Assessment Workshop</w:t>
    </w:r>
    <w:r w:rsidR="00897A1A">
      <w:t xml:space="preserve">: Grade 8 Partially Completed </w:t>
    </w:r>
    <w:r>
      <w:t>Unpacking Tool</w:t>
    </w:r>
    <w:r>
      <w:tab/>
    </w:r>
    <w:sdt>
      <w:sdtPr>
        <w:id w:val="200759453"/>
        <w:docPartObj>
          <w:docPartGallery w:val="Page Numbers (Bottom of Page)"/>
          <w:docPartUnique/>
        </w:docPartObj>
      </w:sdtPr>
      <w:sdtEndPr>
        <w:rPr>
          <w:noProof/>
        </w:rPr>
      </w:sdtEndPr>
      <w:sdtContent>
        <w:r w:rsidR="00897A1A">
          <w:tab/>
        </w:r>
        <w:r w:rsidR="00897A1A">
          <w:tab/>
        </w:r>
        <w:r w:rsidR="00897A1A">
          <w:tab/>
        </w:r>
        <w:r w:rsidR="00897A1A">
          <w:tab/>
        </w:r>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2D4AF" w14:textId="77777777" w:rsidR="00804EFD" w:rsidRDefault="00804EFD" w:rsidP="008F6E2B">
      <w:pPr>
        <w:spacing w:after="0" w:line="240" w:lineRule="auto"/>
      </w:pPr>
      <w:r>
        <w:separator/>
      </w:r>
    </w:p>
  </w:footnote>
  <w:footnote w:type="continuationSeparator" w:id="0">
    <w:p w14:paraId="78B7BD29" w14:textId="77777777" w:rsidR="00804EFD" w:rsidRDefault="00804EFD" w:rsidP="008F6E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4677D"/>
    <w:multiLevelType w:val="hybridMultilevel"/>
    <w:tmpl w:val="1624A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9437847"/>
    <w:multiLevelType w:val="hybridMultilevel"/>
    <w:tmpl w:val="302A3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B746856"/>
    <w:multiLevelType w:val="hybridMultilevel"/>
    <w:tmpl w:val="46861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3B34B98"/>
    <w:multiLevelType w:val="hybridMultilevel"/>
    <w:tmpl w:val="877C1554"/>
    <w:lvl w:ilvl="0" w:tplc="82380FEC">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A5E01D5"/>
    <w:multiLevelType w:val="hybridMultilevel"/>
    <w:tmpl w:val="FBA44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B7F37F5"/>
    <w:multiLevelType w:val="hybridMultilevel"/>
    <w:tmpl w:val="62586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BF909FB"/>
    <w:multiLevelType w:val="hybridMultilevel"/>
    <w:tmpl w:val="1C26594E"/>
    <w:lvl w:ilvl="0" w:tplc="57002F2E">
      <w:start w:val="1"/>
      <w:numFmt w:val="bullet"/>
      <w:pStyle w:val="BulletsLevel1"/>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3tDQ0NDcwMTI3NDNW0lEKTi0uzszPAykwqQUAq3eNVCwAAAA="/>
  </w:docVars>
  <w:rsids>
    <w:rsidRoot w:val="005C1F8A"/>
    <w:rsid w:val="00000BDB"/>
    <w:rsid w:val="00031D40"/>
    <w:rsid w:val="00042B81"/>
    <w:rsid w:val="0004449F"/>
    <w:rsid w:val="00053EEE"/>
    <w:rsid w:val="000554F6"/>
    <w:rsid w:val="00060C47"/>
    <w:rsid w:val="000D1F20"/>
    <w:rsid w:val="00112901"/>
    <w:rsid w:val="0015080C"/>
    <w:rsid w:val="001A74FE"/>
    <w:rsid w:val="001C46AF"/>
    <w:rsid w:val="001F09D7"/>
    <w:rsid w:val="002A78C5"/>
    <w:rsid w:val="002C0FF6"/>
    <w:rsid w:val="002C2D2D"/>
    <w:rsid w:val="002F3FE8"/>
    <w:rsid w:val="00303322"/>
    <w:rsid w:val="00324617"/>
    <w:rsid w:val="0034591A"/>
    <w:rsid w:val="003B713A"/>
    <w:rsid w:val="004200AE"/>
    <w:rsid w:val="004B7A6E"/>
    <w:rsid w:val="004C0E68"/>
    <w:rsid w:val="004C1505"/>
    <w:rsid w:val="004C374E"/>
    <w:rsid w:val="004D13C7"/>
    <w:rsid w:val="004D6ECA"/>
    <w:rsid w:val="00516D7A"/>
    <w:rsid w:val="00520479"/>
    <w:rsid w:val="005324F9"/>
    <w:rsid w:val="00533972"/>
    <w:rsid w:val="00534C14"/>
    <w:rsid w:val="00536DC2"/>
    <w:rsid w:val="005433B1"/>
    <w:rsid w:val="00544416"/>
    <w:rsid w:val="0055667C"/>
    <w:rsid w:val="00557293"/>
    <w:rsid w:val="005A7955"/>
    <w:rsid w:val="005C1F8A"/>
    <w:rsid w:val="005C5001"/>
    <w:rsid w:val="00604668"/>
    <w:rsid w:val="006465F9"/>
    <w:rsid w:val="00694EF7"/>
    <w:rsid w:val="00725B7D"/>
    <w:rsid w:val="007504DA"/>
    <w:rsid w:val="007D54FA"/>
    <w:rsid w:val="00804EFD"/>
    <w:rsid w:val="00816D01"/>
    <w:rsid w:val="00832301"/>
    <w:rsid w:val="00856BF9"/>
    <w:rsid w:val="00883568"/>
    <w:rsid w:val="00897A1A"/>
    <w:rsid w:val="008F08ED"/>
    <w:rsid w:val="008F6E2B"/>
    <w:rsid w:val="00912BD0"/>
    <w:rsid w:val="0099662C"/>
    <w:rsid w:val="009B3596"/>
    <w:rsid w:val="009D19EE"/>
    <w:rsid w:val="00A139C6"/>
    <w:rsid w:val="00A251E3"/>
    <w:rsid w:val="00A31A96"/>
    <w:rsid w:val="00A95D2F"/>
    <w:rsid w:val="00A96640"/>
    <w:rsid w:val="00AA32C5"/>
    <w:rsid w:val="00AA7198"/>
    <w:rsid w:val="00AF1868"/>
    <w:rsid w:val="00B224BF"/>
    <w:rsid w:val="00B31E61"/>
    <w:rsid w:val="00B34057"/>
    <w:rsid w:val="00B47F54"/>
    <w:rsid w:val="00B528E8"/>
    <w:rsid w:val="00B72073"/>
    <w:rsid w:val="00B9256A"/>
    <w:rsid w:val="00BB1533"/>
    <w:rsid w:val="00BD530D"/>
    <w:rsid w:val="00BE0F6D"/>
    <w:rsid w:val="00C032F4"/>
    <w:rsid w:val="00C14B92"/>
    <w:rsid w:val="00C36851"/>
    <w:rsid w:val="00C515AB"/>
    <w:rsid w:val="00C62FE2"/>
    <w:rsid w:val="00C962A2"/>
    <w:rsid w:val="00CC199D"/>
    <w:rsid w:val="00CC21CA"/>
    <w:rsid w:val="00D5005F"/>
    <w:rsid w:val="00D50341"/>
    <w:rsid w:val="00D8201D"/>
    <w:rsid w:val="00DE6FAB"/>
    <w:rsid w:val="00DF6C58"/>
    <w:rsid w:val="00E00988"/>
    <w:rsid w:val="00E06E9F"/>
    <w:rsid w:val="00E2758C"/>
    <w:rsid w:val="00E35EBF"/>
    <w:rsid w:val="00E5320D"/>
    <w:rsid w:val="00EB331C"/>
    <w:rsid w:val="00EC0777"/>
    <w:rsid w:val="00EF5D1E"/>
    <w:rsid w:val="00F2061D"/>
    <w:rsid w:val="00F27EEC"/>
    <w:rsid w:val="00F61F56"/>
    <w:rsid w:val="00F8014F"/>
    <w:rsid w:val="00F86B46"/>
    <w:rsid w:val="00FC3D13"/>
    <w:rsid w:val="00FD2623"/>
    <w:rsid w:val="00FD7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11C3F"/>
  <w15:chartTrackingRefBased/>
  <w15:docId w15:val="{9791804E-28EF-43E4-A515-104AAF70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C1F8A"/>
    <w:pPr>
      <w:spacing w:after="160" w:line="259" w:lineRule="auto"/>
    </w:pPr>
    <w:rPr>
      <w:rFonts w:asciiTheme="minorHAnsi" w:eastAsiaTheme="minorHAnsi" w:hAnsiTheme="minorHAnsi" w:cstheme="minorBidi"/>
    </w:rPr>
  </w:style>
  <w:style w:type="paragraph" w:styleId="Heading1">
    <w:name w:val="heading 1"/>
    <w:basedOn w:val="Normal"/>
    <w:next w:val="BodyText1"/>
    <w:link w:val="Heading1Char"/>
    <w:qFormat/>
    <w:rsid w:val="00E00988"/>
    <w:pPr>
      <w:keepNext/>
      <w:spacing w:before="360" w:after="120"/>
      <w:outlineLvl w:val="0"/>
    </w:pPr>
    <w:rPr>
      <w:b/>
      <w:bCs/>
      <w:kern w:val="32"/>
      <w:sz w:val="28"/>
      <w:lang w:bidi="en-US"/>
    </w:rPr>
  </w:style>
  <w:style w:type="paragraph" w:styleId="Heading2">
    <w:name w:val="heading 2"/>
    <w:basedOn w:val="Normal"/>
    <w:next w:val="Normal"/>
    <w:link w:val="Heading2Char"/>
    <w:qFormat/>
    <w:rsid w:val="00E00988"/>
    <w:pPr>
      <w:keepNext/>
      <w:spacing w:after="60"/>
      <w:outlineLvl w:val="1"/>
    </w:pPr>
    <w:rPr>
      <w:b/>
      <w:iCs/>
      <w:sz w:val="24"/>
      <w:lang w:bidi="en-US"/>
    </w:rPr>
  </w:style>
  <w:style w:type="paragraph" w:styleId="Heading3">
    <w:name w:val="heading 3"/>
    <w:basedOn w:val="Normal"/>
    <w:next w:val="Normal"/>
    <w:link w:val="Heading3Char"/>
    <w:qFormat/>
    <w:rsid w:val="00E00988"/>
    <w:pPr>
      <w:keepNext/>
      <w:spacing w:before="240" w:after="60"/>
      <w:outlineLvl w:val="2"/>
    </w:pPr>
    <w:rPr>
      <w:b/>
      <w:bCs/>
      <w:i/>
      <w:color w:val="7F7F7F"/>
    </w:rPr>
  </w:style>
  <w:style w:type="paragraph" w:styleId="Heading4">
    <w:name w:val="heading 4"/>
    <w:basedOn w:val="Normal"/>
    <w:next w:val="Normal"/>
    <w:link w:val="Heading4Char"/>
    <w:qFormat/>
    <w:rsid w:val="00E00988"/>
    <w:pPr>
      <w:keepNext/>
      <w:spacing w:after="240"/>
      <w:outlineLvl w:val="3"/>
    </w:pPr>
    <w:rPr>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Char"/>
    <w:qFormat/>
    <w:rsid w:val="00E00988"/>
    <w:pPr>
      <w:spacing w:after="240"/>
    </w:pPr>
  </w:style>
  <w:style w:type="character" w:customStyle="1" w:styleId="BodytextChar">
    <w:name w:val="Body text Char"/>
    <w:basedOn w:val="DefaultParagraphFont"/>
    <w:link w:val="BodyText1"/>
    <w:rsid w:val="00E00988"/>
    <w:rPr>
      <w:rFonts w:ascii="Calibri" w:hAnsi="Calibri" w:cs="Arial"/>
      <w:sz w:val="22"/>
      <w:szCs w:val="22"/>
    </w:rPr>
  </w:style>
  <w:style w:type="paragraph" w:customStyle="1" w:styleId="Exhibitheading">
    <w:name w:val="Exhibit heading"/>
    <w:basedOn w:val="Normal"/>
    <w:link w:val="ExhibitheadingChar"/>
    <w:qFormat/>
    <w:rsid w:val="00E00988"/>
    <w:pPr>
      <w:spacing w:after="120"/>
    </w:pPr>
    <w:rPr>
      <w:b/>
      <w:lang w:bidi="en-US"/>
    </w:rPr>
  </w:style>
  <w:style w:type="character" w:customStyle="1" w:styleId="ExhibitheadingChar">
    <w:name w:val="Exhibit heading Char"/>
    <w:basedOn w:val="DefaultParagraphFont"/>
    <w:link w:val="Exhibitheading"/>
    <w:rsid w:val="00E00988"/>
    <w:rPr>
      <w:rFonts w:ascii="Calibri" w:hAnsi="Calibri" w:cs="Arial"/>
      <w:b/>
      <w:sz w:val="22"/>
      <w:szCs w:val="22"/>
      <w:lang w:bidi="en-US"/>
    </w:rPr>
  </w:style>
  <w:style w:type="character" w:customStyle="1" w:styleId="Heading1Char">
    <w:name w:val="Heading 1 Char"/>
    <w:basedOn w:val="DefaultParagraphFont"/>
    <w:link w:val="Heading1"/>
    <w:rsid w:val="00E00988"/>
    <w:rPr>
      <w:rFonts w:ascii="Calibri" w:hAnsi="Calibri" w:cs="Arial"/>
      <w:b/>
      <w:bCs/>
      <w:kern w:val="32"/>
      <w:sz w:val="28"/>
      <w:szCs w:val="22"/>
      <w:lang w:bidi="en-US"/>
    </w:rPr>
  </w:style>
  <w:style w:type="character" w:customStyle="1" w:styleId="Heading2Char">
    <w:name w:val="Heading 2 Char"/>
    <w:basedOn w:val="DefaultParagraphFont"/>
    <w:link w:val="Heading2"/>
    <w:rsid w:val="00E00988"/>
    <w:rPr>
      <w:rFonts w:ascii="Calibri" w:hAnsi="Calibri" w:cs="Arial"/>
      <w:b/>
      <w:iCs/>
      <w:sz w:val="24"/>
      <w:szCs w:val="22"/>
      <w:lang w:bidi="en-US"/>
    </w:rPr>
  </w:style>
  <w:style w:type="character" w:customStyle="1" w:styleId="Heading3Char">
    <w:name w:val="Heading 3 Char"/>
    <w:basedOn w:val="DefaultParagraphFont"/>
    <w:link w:val="Heading3"/>
    <w:rsid w:val="00E00988"/>
    <w:rPr>
      <w:rFonts w:ascii="Calibri" w:hAnsi="Calibri" w:cs="Arial"/>
      <w:b/>
      <w:bCs/>
      <w:i/>
      <w:color w:val="7F7F7F"/>
      <w:sz w:val="22"/>
      <w:szCs w:val="22"/>
    </w:rPr>
  </w:style>
  <w:style w:type="character" w:customStyle="1" w:styleId="Heading4Char">
    <w:name w:val="Heading 4 Char"/>
    <w:basedOn w:val="DefaultParagraphFont"/>
    <w:link w:val="Heading4"/>
    <w:rsid w:val="00E00988"/>
    <w:rPr>
      <w:rFonts w:ascii="Calibri" w:hAnsi="Calibri" w:cs="Arial"/>
      <w:b/>
      <w:bCs/>
      <w:sz w:val="22"/>
      <w:szCs w:val="22"/>
      <w:lang w:bidi="en-US"/>
    </w:rPr>
  </w:style>
  <w:style w:type="paragraph" w:styleId="TOC1">
    <w:name w:val="toc 1"/>
    <w:basedOn w:val="Normal"/>
    <w:next w:val="Normal"/>
    <w:autoRedefine/>
    <w:uiPriority w:val="39"/>
    <w:unhideWhenUsed/>
    <w:qFormat/>
    <w:rsid w:val="00E00988"/>
    <w:pPr>
      <w:tabs>
        <w:tab w:val="right" w:leader="dot" w:pos="9350"/>
      </w:tabs>
      <w:spacing w:after="100"/>
    </w:pPr>
    <w:rPr>
      <w:lang w:bidi="en-US"/>
    </w:rPr>
  </w:style>
  <w:style w:type="paragraph" w:styleId="TOC2">
    <w:name w:val="toc 2"/>
    <w:basedOn w:val="Normal"/>
    <w:next w:val="Normal"/>
    <w:autoRedefine/>
    <w:uiPriority w:val="39"/>
    <w:unhideWhenUsed/>
    <w:qFormat/>
    <w:rsid w:val="00E00988"/>
    <w:pPr>
      <w:spacing w:after="100"/>
      <w:ind w:left="220"/>
    </w:pPr>
    <w:rPr>
      <w:lang w:bidi="en-US"/>
    </w:rPr>
  </w:style>
  <w:style w:type="paragraph" w:styleId="Title">
    <w:name w:val="Title"/>
    <w:basedOn w:val="Normal"/>
    <w:next w:val="Normal"/>
    <w:link w:val="TitleChar"/>
    <w:uiPriority w:val="10"/>
    <w:qFormat/>
    <w:rsid w:val="00E00988"/>
    <w:pPr>
      <w:pBdr>
        <w:bottom w:val="single" w:sz="8" w:space="1" w:color="4F81BD" w:themeColor="accent1"/>
      </w:pBdr>
      <w:spacing w:after="300"/>
    </w:pPr>
    <w:rPr>
      <w:sz w:val="52"/>
      <w:lang w:bidi="en-US"/>
    </w:rPr>
  </w:style>
  <w:style w:type="character" w:customStyle="1" w:styleId="TitleChar">
    <w:name w:val="Title Char"/>
    <w:basedOn w:val="DefaultParagraphFont"/>
    <w:link w:val="Title"/>
    <w:uiPriority w:val="10"/>
    <w:rsid w:val="00E00988"/>
    <w:rPr>
      <w:rFonts w:ascii="Calibri" w:hAnsi="Calibri" w:cs="Arial"/>
      <w:sz w:val="52"/>
      <w:szCs w:val="52"/>
      <w:lang w:bidi="en-US"/>
    </w:rPr>
  </w:style>
  <w:style w:type="paragraph" w:styleId="TOCHeading">
    <w:name w:val="TOC Heading"/>
    <w:basedOn w:val="Heading1"/>
    <w:next w:val="Normal"/>
    <w:uiPriority w:val="39"/>
    <w:qFormat/>
    <w:rsid w:val="00E00988"/>
    <w:pPr>
      <w:keepLines/>
      <w:spacing w:before="480" w:after="0" w:line="276" w:lineRule="auto"/>
      <w:outlineLvl w:val="9"/>
    </w:pPr>
    <w:rPr>
      <w:rFonts w:cs="Times New Roman"/>
      <w:kern w:val="0"/>
      <w:szCs w:val="28"/>
    </w:rPr>
  </w:style>
  <w:style w:type="paragraph" w:customStyle="1" w:styleId="BulletsLevel1">
    <w:name w:val="Bullets (Level 1)"/>
    <w:basedOn w:val="BodyText1"/>
    <w:qFormat/>
    <w:rsid w:val="00000BDB"/>
    <w:pPr>
      <w:numPr>
        <w:numId w:val="1"/>
      </w:numPr>
      <w:spacing w:after="120"/>
    </w:pPr>
  </w:style>
  <w:style w:type="paragraph" w:customStyle="1" w:styleId="Bullets">
    <w:name w:val="Bullets"/>
    <w:basedOn w:val="ListParagraph"/>
    <w:qFormat/>
    <w:rsid w:val="002C0FF6"/>
    <w:pPr>
      <w:numPr>
        <w:numId w:val="2"/>
      </w:numPr>
      <w:spacing w:after="120"/>
      <w:contextualSpacing w:val="0"/>
    </w:pPr>
  </w:style>
  <w:style w:type="paragraph" w:styleId="ListParagraph">
    <w:name w:val="List Paragraph"/>
    <w:basedOn w:val="Normal"/>
    <w:uiPriority w:val="34"/>
    <w:qFormat/>
    <w:rsid w:val="002C0FF6"/>
    <w:pPr>
      <w:ind w:left="720"/>
      <w:contextualSpacing/>
    </w:pPr>
  </w:style>
  <w:style w:type="table" w:customStyle="1" w:styleId="TableGrid2">
    <w:name w:val="Table Grid2"/>
    <w:basedOn w:val="TableNormal"/>
    <w:next w:val="TableGrid"/>
    <w:uiPriority w:val="39"/>
    <w:rsid w:val="005C1F8A"/>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C1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6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E2B"/>
    <w:rPr>
      <w:rFonts w:asciiTheme="minorHAnsi" w:eastAsiaTheme="minorHAnsi" w:hAnsiTheme="minorHAnsi" w:cstheme="minorBidi"/>
    </w:rPr>
  </w:style>
  <w:style w:type="paragraph" w:styleId="Footer">
    <w:name w:val="footer"/>
    <w:basedOn w:val="Normal"/>
    <w:link w:val="FooterChar"/>
    <w:uiPriority w:val="99"/>
    <w:unhideWhenUsed/>
    <w:rsid w:val="008F6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E2B"/>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8F08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8ED"/>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FB9E4-3DAA-48D7-B602-80FCE5794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Harding</dc:creator>
  <cp:keywords/>
  <dc:description/>
  <cp:lastModifiedBy>Erin Buchanan</cp:lastModifiedBy>
  <cp:revision>32</cp:revision>
  <cp:lastPrinted>2019-05-28T18:20:00Z</cp:lastPrinted>
  <dcterms:created xsi:type="dcterms:W3CDTF">2020-01-10T23:16:00Z</dcterms:created>
  <dcterms:modified xsi:type="dcterms:W3CDTF">2020-04-29T14:40:00Z</dcterms:modified>
</cp:coreProperties>
</file>